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DF" w:rsidRPr="006160DF" w:rsidRDefault="006160DF" w:rsidP="006160DF">
      <w:pPr>
        <w:shd w:val="clear" w:color="auto" w:fill="FFFFFF" w:themeFill="background1"/>
        <w:spacing w:after="0" w:line="240" w:lineRule="auto"/>
        <w:outlineLvl w:val="1"/>
        <w:rPr>
          <w:rFonts w:ascii="Noto Sans" w:eastAsia="Times New Roman" w:hAnsi="Noto Sans" w:cs="Noto Sans"/>
          <w:color w:val="385623" w:themeColor="accent6" w:themeShade="80"/>
          <w:sz w:val="41"/>
          <w:szCs w:val="41"/>
          <w:lang w:eastAsia="cs-CZ"/>
        </w:rPr>
      </w:pPr>
      <w:r w:rsidRPr="006160DF">
        <w:rPr>
          <w:rFonts w:ascii="Noto Sans" w:eastAsia="Times New Roman" w:hAnsi="Noto Sans" w:cs="Noto Sans"/>
          <w:color w:val="385623" w:themeColor="accent6" w:themeShade="80"/>
          <w:sz w:val="41"/>
          <w:szCs w:val="41"/>
          <w:lang w:eastAsia="cs-CZ"/>
        </w:rPr>
        <w:t>Vidimace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Vidimací se ověřuje, že opis nebo kopie (též "</w:t>
      </w:r>
      <w:proofErr w:type="spell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vidimovaná</w:t>
      </w:r>
      <w:proofErr w:type="spell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listina") se doslova shoduje s předloženou listinou.</w:t>
      </w:r>
    </w:p>
    <w:tbl>
      <w:tblPr>
        <w:tblW w:w="0" w:type="auto"/>
        <w:shd w:val="clear" w:color="auto" w:fill="ED7D31" w:themeFill="accent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  <w:gridCol w:w="736"/>
      </w:tblGrid>
      <w:tr w:rsidR="006160DF" w:rsidRPr="006160DF" w:rsidTr="003E170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0DF" w:rsidRPr="006160DF" w:rsidRDefault="006160DF" w:rsidP="006160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000000" w:themeColor="text1"/>
                <w:sz w:val="19"/>
                <w:szCs w:val="19"/>
                <w:lang w:eastAsia="cs-CZ"/>
              </w:rPr>
            </w:pPr>
            <w:r w:rsidRPr="006160DF">
              <w:rPr>
                <w:rFonts w:ascii="Noto Sans" w:eastAsia="Times New Roman" w:hAnsi="Noto Sans" w:cs="Noto Sans"/>
                <w:b/>
                <w:bCs/>
                <w:color w:val="000000" w:themeColor="text1"/>
                <w:sz w:val="19"/>
                <w:szCs w:val="19"/>
                <w:lang w:eastAsia="cs-CZ"/>
              </w:rPr>
              <w:t>Cena za ověřování listin</w:t>
            </w:r>
          </w:p>
        </w:tc>
      </w:tr>
      <w:tr w:rsidR="006160DF" w:rsidRPr="006160DF" w:rsidTr="003E1702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0DF" w:rsidRPr="006160DF" w:rsidRDefault="006160DF" w:rsidP="006160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</w:pPr>
            <w:r w:rsidRPr="006160DF"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  <w:t xml:space="preserve">Každá započatá stránka ověřované listiny ve formátu A4 a menším (má-li </w:t>
            </w:r>
            <w:proofErr w:type="spellStart"/>
            <w:r w:rsidRPr="006160DF"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  <w:t>vidimovaná</w:t>
            </w:r>
            <w:proofErr w:type="spellEnd"/>
            <w:r w:rsidRPr="006160DF"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  <w:t xml:space="preserve"> listina formát větší než A4, cena se rovná násobku podle počtu stran A4 obsažených ve formátu </w:t>
            </w:r>
            <w:proofErr w:type="spellStart"/>
            <w:r w:rsidRPr="006160DF"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  <w:t>vidimované</w:t>
            </w:r>
            <w:proofErr w:type="spellEnd"/>
            <w:r w:rsidRPr="006160DF"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  <w:t xml:space="preserve"> listiny, např. formát A3 = 2 x A4)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0DF" w:rsidRPr="006160DF" w:rsidRDefault="006160DF" w:rsidP="006160DF">
            <w:pPr>
              <w:shd w:val="clear" w:color="auto" w:fill="FFFFFF" w:themeFill="background1"/>
              <w:spacing w:after="0" w:line="240" w:lineRule="auto"/>
              <w:rPr>
                <w:rFonts w:ascii="Noto Sans" w:eastAsia="Times New Roman" w:hAnsi="Noto Sans" w:cs="Noto Sans"/>
                <w:b/>
                <w:bCs/>
                <w:sz w:val="19"/>
                <w:szCs w:val="19"/>
                <w:lang w:eastAsia="cs-CZ"/>
              </w:rPr>
            </w:pPr>
            <w:r w:rsidRPr="006160DF">
              <w:rPr>
                <w:rFonts w:ascii="Noto Sans" w:eastAsia="Times New Roman" w:hAnsi="Noto Sans" w:cs="Noto Sans"/>
                <w:b/>
                <w:bCs/>
                <w:sz w:val="19"/>
                <w:szCs w:val="19"/>
                <w:lang w:eastAsia="cs-CZ"/>
              </w:rPr>
              <w:t>30 Kč</w:t>
            </w:r>
          </w:p>
        </w:tc>
      </w:tr>
    </w:tbl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 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outlineLvl w:val="1"/>
        <w:rPr>
          <w:rFonts w:ascii="Noto Sans" w:eastAsia="Times New Roman" w:hAnsi="Noto Sans" w:cs="Noto Sans"/>
          <w:color w:val="385623" w:themeColor="accent6" w:themeShade="80"/>
          <w:sz w:val="41"/>
          <w:szCs w:val="41"/>
          <w:lang w:eastAsia="cs-CZ"/>
        </w:rPr>
      </w:pPr>
      <w:r w:rsidRPr="006160DF">
        <w:rPr>
          <w:rFonts w:ascii="Noto Sans" w:eastAsia="Times New Roman" w:hAnsi="Noto Sans" w:cs="Noto Sans"/>
          <w:color w:val="385623" w:themeColor="accent6" w:themeShade="80"/>
          <w:sz w:val="41"/>
          <w:szCs w:val="41"/>
          <w:lang w:eastAsia="cs-CZ"/>
        </w:rPr>
        <w:t>Kdy nelze provést ověřování listin?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b/>
          <w:bCs/>
          <w:sz w:val="19"/>
          <w:szCs w:val="19"/>
          <w:lang w:eastAsia="cs-CZ"/>
        </w:rPr>
        <w:t>Ověřování listin nelze provést:</w:t>
      </w:r>
    </w:p>
    <w:p w:rsidR="006160DF" w:rsidRPr="006160DF" w:rsidRDefault="006160DF" w:rsidP="006160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je-li listinou, z níž je </w:t>
      </w:r>
      <w:proofErr w:type="spell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vidimovaná</w:t>
      </w:r>
      <w:proofErr w:type="spell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listina pořízena, listina, jejíž jedinečnost nelze </w:t>
      </w:r>
      <w:proofErr w:type="spell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vidimovanou</w:t>
      </w:r>
      <w:proofErr w:type="spell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listinou nahradit </w:t>
      </w:r>
      <w:proofErr w:type="gram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zejména  občanský</w:t>
      </w:r>
      <w:proofErr w:type="gram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průkaz, cestovní doklad, zbrojní průkaz, řidičský průkaz, vojenská knížka, služební průkaz, průkaz o povolení k pobytu cizince, rybářský lístek, lovecký lístek nebo jiný průkaz, vkladní knížka,</w:t>
      </w:r>
      <w:r>
        <w:rPr>
          <w:rFonts w:ascii="Noto Sans" w:eastAsia="Times New Roman" w:hAnsi="Noto Sans" w:cs="Noto Sans"/>
          <w:sz w:val="19"/>
          <w:szCs w:val="19"/>
          <w:lang w:eastAsia="cs-CZ"/>
        </w:rPr>
        <w:t xml:space="preserve"> </w:t>
      </w: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šek, směnka nebo jiný cenný papír, los, sázenka, protest směnky, geometrický plán, rys nebo technická kresba</w:t>
      </w:r>
    </w:p>
    <w:p w:rsidR="006160DF" w:rsidRPr="006160DF" w:rsidRDefault="006160DF" w:rsidP="006160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je-li listina, z níž je </w:t>
      </w:r>
      <w:proofErr w:type="spell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vidimovaná</w:t>
      </w:r>
      <w:proofErr w:type="spell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listina pořízena, psána v jiném než českém nebo slovenském jazyce a není-li současně předložena v úředně ověřeném překladu do jazyka českého; to neplatí, byla-li kopie listiny pořízena ověřující osobou na kopírovacím zařízení, a to na náklady žadatele</w:t>
      </w:r>
    </w:p>
    <w:p w:rsidR="006160DF" w:rsidRPr="006160DF" w:rsidRDefault="006160DF" w:rsidP="006160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je-li listina opatřena viditelným zajišťovacím prvkem, jenž je součástí obsahu právního významu této listiny, například hologramem; to neplatí, byla-li kopie listiny pořízena ověřující osobou na kopírovacím zařízení, a to na náklady žadatele</w:t>
      </w:r>
    </w:p>
    <w:p w:rsidR="006160DF" w:rsidRPr="006160DF" w:rsidRDefault="006160DF" w:rsidP="006160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je-li listina již ověřenou </w:t>
      </w:r>
      <w:proofErr w:type="spell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vidimovanou</w:t>
      </w:r>
      <w:proofErr w:type="spell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listinou, v jejíž ověřovací doložce je údaj o tom, že listina, ze které byla tato listina pořízena, obsahovala viditelný zajišťovací prvek, jenž je součástí obsahu právního významu této listiny</w:t>
      </w:r>
    </w:p>
    <w:p w:rsidR="006160DF" w:rsidRPr="006160DF" w:rsidRDefault="006160DF" w:rsidP="006160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je-li listina opatřena plastickým textem nebo otiskem plastického razítka</w:t>
      </w:r>
    </w:p>
    <w:p w:rsidR="006160DF" w:rsidRPr="006160DF" w:rsidRDefault="006160DF" w:rsidP="006160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jsou-li ve </w:t>
      </w:r>
      <w:proofErr w:type="spell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vidimované</w:t>
      </w:r>
      <w:proofErr w:type="spell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listině změny,</w:t>
      </w:r>
      <w:r>
        <w:rPr>
          <w:rFonts w:ascii="Noto Sans" w:eastAsia="Times New Roman" w:hAnsi="Noto Sans" w:cs="Noto Sans"/>
          <w:sz w:val="19"/>
          <w:szCs w:val="19"/>
          <w:lang w:eastAsia="cs-CZ"/>
        </w:rPr>
        <w:t xml:space="preserve"> </w:t>
      </w: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doplňky, vsuvky nebo škrty které by mohly zeslabit její věrohodnost</w:t>
      </w:r>
    </w:p>
    <w:p w:rsidR="006160DF" w:rsidRPr="006160DF" w:rsidRDefault="006160DF" w:rsidP="006160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jestliže se </w:t>
      </w:r>
      <w:proofErr w:type="spell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vidimovaná</w:t>
      </w:r>
      <w:proofErr w:type="spell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listina doslovně neshoduje s listinou, z níž byla pořízena</w:t>
      </w:r>
    </w:p>
    <w:p w:rsidR="006160DF" w:rsidRPr="006160DF" w:rsidRDefault="006160DF" w:rsidP="006160D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není-li z </w:t>
      </w:r>
      <w:proofErr w:type="spell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vidimované</w:t>
      </w:r>
      <w:proofErr w:type="spell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listiny patrné, zda se jedná o:</w:t>
      </w:r>
    </w:p>
    <w:p w:rsidR="006160DF" w:rsidRPr="006160DF" w:rsidRDefault="006160DF" w:rsidP="006160DF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96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prvopis</w:t>
      </w:r>
    </w:p>
    <w:p w:rsidR="006160DF" w:rsidRPr="006160DF" w:rsidRDefault="006160DF" w:rsidP="006160DF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96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již ověřenou </w:t>
      </w:r>
      <w:proofErr w:type="spellStart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vidimovanou</w:t>
      </w:r>
      <w:proofErr w:type="spellEnd"/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listinu</w:t>
      </w:r>
    </w:p>
    <w:p w:rsidR="006160DF" w:rsidRPr="006160DF" w:rsidRDefault="006160DF" w:rsidP="006160DF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96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listinu, která je výstupem z autorizované konverze dokumentů</w:t>
      </w:r>
    </w:p>
    <w:p w:rsidR="006160DF" w:rsidRPr="006160DF" w:rsidRDefault="006160DF" w:rsidP="006160DF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96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opis anebo kopii pořízenou ze spisu</w:t>
      </w:r>
    </w:p>
    <w:p w:rsidR="006160DF" w:rsidRPr="006160DF" w:rsidRDefault="006160DF" w:rsidP="006160DF">
      <w:pPr>
        <w:numPr>
          <w:ilvl w:val="1"/>
          <w:numId w:val="1"/>
        </w:numPr>
        <w:shd w:val="clear" w:color="auto" w:fill="FFFFFF" w:themeFill="background1"/>
        <w:spacing w:after="0" w:line="240" w:lineRule="auto"/>
        <w:ind w:left="960"/>
        <w:jc w:val="both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nebo stejnopis písemného vyhotovení rozhodnutí anebo výroku rozhodnutí vydaného podle zvláštního právního předpisu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 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outlineLvl w:val="1"/>
        <w:rPr>
          <w:rFonts w:ascii="Noto Sans" w:eastAsia="Times New Roman" w:hAnsi="Noto Sans" w:cs="Noto Sans"/>
          <w:color w:val="385623" w:themeColor="accent6" w:themeShade="80"/>
          <w:sz w:val="41"/>
          <w:szCs w:val="41"/>
          <w:lang w:eastAsia="cs-CZ"/>
        </w:rPr>
      </w:pPr>
      <w:r w:rsidRPr="006160DF">
        <w:rPr>
          <w:rFonts w:ascii="Noto Sans" w:eastAsia="Times New Roman" w:hAnsi="Noto Sans" w:cs="Noto Sans"/>
          <w:color w:val="385623" w:themeColor="accent6" w:themeShade="80"/>
          <w:sz w:val="41"/>
          <w:szCs w:val="41"/>
          <w:lang w:eastAsia="cs-CZ"/>
        </w:rPr>
        <w:t>Legalizace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Legalizací se ověřuje, že žadatel listinu před ověřující osobou vlastnoručně podepsal nebo podpis na listině uznal za vlastní.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Vidimací a legalizací se nepotvrzuje správnost ani pravdivost údajů uvedených na listině ani jejich soulad s právními předpisy.</w:t>
      </w:r>
      <w:r w:rsidRPr="006160DF">
        <w:rPr>
          <w:rFonts w:ascii="Noto Sans" w:eastAsia="Times New Roman" w:hAnsi="Noto Sans" w:cs="Noto Sans"/>
          <w:b/>
          <w:bCs/>
          <w:sz w:val="19"/>
          <w:szCs w:val="19"/>
          <w:lang w:eastAsia="cs-CZ"/>
        </w:rPr>
        <w:t> Úřad za obsah listin neodpovídá</w:t>
      </w: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.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 </w:t>
      </w:r>
      <w:bookmarkStart w:id="0" w:name="_GoBack"/>
      <w:bookmarkEnd w:id="0"/>
    </w:p>
    <w:tbl>
      <w:tblPr>
        <w:tblW w:w="9356" w:type="dxa"/>
        <w:shd w:val="clear" w:color="auto" w:fill="77B9D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  <w:gridCol w:w="1001"/>
      </w:tblGrid>
      <w:tr w:rsidR="006160DF" w:rsidRPr="006160DF" w:rsidTr="003E1702">
        <w:trPr>
          <w:tblHeader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0DF" w:rsidRPr="006160DF" w:rsidRDefault="006160DF" w:rsidP="006160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Noto Sans" w:eastAsia="Times New Roman" w:hAnsi="Noto Sans" w:cs="Noto Sans"/>
                <w:b/>
                <w:bCs/>
                <w:sz w:val="19"/>
                <w:szCs w:val="19"/>
                <w:lang w:eastAsia="cs-CZ"/>
              </w:rPr>
            </w:pPr>
            <w:r w:rsidRPr="006160DF">
              <w:rPr>
                <w:rFonts w:ascii="Noto Sans" w:eastAsia="Times New Roman" w:hAnsi="Noto Sans" w:cs="Noto Sans"/>
                <w:b/>
                <w:bCs/>
                <w:sz w:val="19"/>
                <w:szCs w:val="19"/>
                <w:lang w:eastAsia="cs-CZ"/>
              </w:rPr>
              <w:t>Cena za ověřování podpisů</w:t>
            </w:r>
          </w:p>
        </w:tc>
      </w:tr>
      <w:tr w:rsidR="006160DF" w:rsidRPr="006160DF" w:rsidTr="00C236CC">
        <w:trPr>
          <w:trHeight w:val="339"/>
        </w:trPr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160DF" w:rsidRPr="006160DF" w:rsidRDefault="006160DF" w:rsidP="006160DF">
            <w:pPr>
              <w:shd w:val="clear" w:color="auto" w:fill="FFFFFF" w:themeFill="background1"/>
              <w:spacing w:after="0" w:line="240" w:lineRule="auto"/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</w:pPr>
            <w:r w:rsidRPr="006160DF"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  <w:t>Ověření každého podpisu na listině      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6CC" w:rsidRPr="006160DF" w:rsidRDefault="006160DF" w:rsidP="00C236CC">
            <w:pPr>
              <w:shd w:val="clear" w:color="auto" w:fill="FFFFFF" w:themeFill="background1"/>
              <w:spacing w:after="0" w:line="240" w:lineRule="auto"/>
              <w:rPr>
                <w:rFonts w:ascii="Noto Sans" w:eastAsia="Times New Roman" w:hAnsi="Noto Sans" w:cs="Noto Sans"/>
                <w:b/>
                <w:bCs/>
                <w:sz w:val="19"/>
                <w:szCs w:val="19"/>
                <w:lang w:eastAsia="cs-CZ"/>
              </w:rPr>
            </w:pPr>
            <w:r w:rsidRPr="006160DF"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  <w:t> </w:t>
            </w:r>
            <w:r w:rsidR="00C236CC" w:rsidRPr="006160DF">
              <w:rPr>
                <w:rFonts w:ascii="Noto Sans" w:eastAsia="Times New Roman" w:hAnsi="Noto Sans" w:cs="Noto Sans"/>
                <w:b/>
                <w:bCs/>
                <w:sz w:val="19"/>
                <w:szCs w:val="19"/>
                <w:lang w:eastAsia="cs-CZ"/>
              </w:rPr>
              <w:t>30 Kč</w:t>
            </w:r>
          </w:p>
          <w:p w:rsidR="006160DF" w:rsidRPr="006160DF" w:rsidRDefault="006160DF" w:rsidP="006160DF">
            <w:pPr>
              <w:shd w:val="clear" w:color="auto" w:fill="FFFFFF" w:themeFill="background1"/>
              <w:spacing w:after="0" w:line="240" w:lineRule="auto"/>
              <w:rPr>
                <w:rFonts w:ascii="Noto Sans" w:eastAsia="Times New Roman" w:hAnsi="Noto Sans" w:cs="Noto Sans"/>
                <w:sz w:val="19"/>
                <w:szCs w:val="19"/>
                <w:lang w:eastAsia="cs-CZ"/>
              </w:rPr>
            </w:pPr>
          </w:p>
        </w:tc>
      </w:tr>
    </w:tbl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b/>
          <w:bCs/>
          <w:sz w:val="19"/>
          <w:szCs w:val="19"/>
          <w:u w:val="single"/>
          <w:lang w:eastAsia="cs-CZ"/>
        </w:rPr>
        <w:t>Kdy nelze provést ověřování podpisů?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b/>
          <w:bCs/>
          <w:sz w:val="19"/>
          <w:szCs w:val="19"/>
          <w:lang w:eastAsia="cs-CZ"/>
        </w:rPr>
        <w:t>Ověření podpisů nelze provést:</w:t>
      </w:r>
    </w:p>
    <w:p w:rsidR="006160DF" w:rsidRPr="006160DF" w:rsidRDefault="006160DF" w:rsidP="006160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jde-li o legalizaci podpisu ověřující osoby, která legalizaci provádí</w:t>
      </w:r>
    </w:p>
    <w:p w:rsidR="006160DF" w:rsidRPr="006160DF" w:rsidRDefault="006160DF" w:rsidP="006160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je-li podpis vyhotoven jinými písmeny než písmeny latinské abecedy</w:t>
      </w:r>
    </w:p>
    <w:p w:rsidR="006160DF" w:rsidRPr="006160DF" w:rsidRDefault="006160DF" w:rsidP="006160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jde-li o legalizaci podpisu na listině, která neobsahuje žádný text</w:t>
      </w:r>
    </w:p>
    <w:p w:rsidR="006160DF" w:rsidRPr="006160DF" w:rsidRDefault="006160DF" w:rsidP="006160D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je-li legalizován podpis na listině, která je psána v jiném než českém nebo slovenském jazyce a není-li současně předložena v úředně ověřeném překladu do jazyka českého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 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outlineLvl w:val="4"/>
        <w:rPr>
          <w:rFonts w:ascii="Noto Sans" w:eastAsia="Times New Roman" w:hAnsi="Noto Sans" w:cs="Noto Sans"/>
          <w:sz w:val="19"/>
          <w:szCs w:val="19"/>
          <w:lang w:eastAsia="cs-CZ"/>
        </w:rPr>
      </w:pPr>
      <w:r w:rsidRPr="006160DF">
        <w:rPr>
          <w:rFonts w:ascii="Noto Sans" w:eastAsia="Times New Roman" w:hAnsi="Noto Sans" w:cs="Noto Sans"/>
          <w:b/>
          <w:bCs/>
          <w:sz w:val="26"/>
          <w:szCs w:val="26"/>
          <w:lang w:eastAsia="cs-CZ"/>
        </w:rPr>
        <w:t>Úřední hodiny:</w:t>
      </w:r>
      <w:r>
        <w:rPr>
          <w:rFonts w:ascii="Noto Sans" w:eastAsia="Times New Roman" w:hAnsi="Noto Sans" w:cs="Noto Sans"/>
          <w:b/>
          <w:bCs/>
          <w:sz w:val="26"/>
          <w:szCs w:val="26"/>
          <w:lang w:eastAsia="cs-CZ"/>
        </w:rPr>
        <w:tab/>
      </w:r>
      <w:r>
        <w:rPr>
          <w:rFonts w:ascii="Noto Sans" w:eastAsia="Times New Roman" w:hAnsi="Noto Sans" w:cs="Noto Sans"/>
          <w:b/>
          <w:bCs/>
          <w:sz w:val="26"/>
          <w:szCs w:val="26"/>
          <w:lang w:eastAsia="cs-CZ"/>
        </w:rPr>
        <w:tab/>
      </w:r>
      <w:proofErr w:type="gramStart"/>
      <w:r>
        <w:rPr>
          <w:rFonts w:ascii="Noto Sans" w:eastAsia="Times New Roman" w:hAnsi="Noto Sans" w:cs="Noto Sans"/>
          <w:sz w:val="20"/>
          <w:szCs w:val="20"/>
          <w:lang w:eastAsia="cs-CZ"/>
        </w:rPr>
        <w:t>Pondělí</w:t>
      </w:r>
      <w:proofErr w:type="gramEnd"/>
      <w:r>
        <w:rPr>
          <w:rFonts w:ascii="Noto Sans" w:eastAsia="Times New Roman" w:hAnsi="Noto Sans" w:cs="Noto Sans"/>
          <w:sz w:val="20"/>
          <w:szCs w:val="20"/>
          <w:lang w:eastAsia="cs-CZ"/>
        </w:rPr>
        <w:t xml:space="preserve">, Úterý, </w:t>
      </w:r>
      <w:r w:rsidRPr="006160DF">
        <w:rPr>
          <w:rFonts w:ascii="Noto Sans" w:eastAsia="Times New Roman" w:hAnsi="Noto Sans" w:cs="Noto Sans"/>
          <w:sz w:val="20"/>
          <w:szCs w:val="20"/>
          <w:lang w:eastAsia="cs-CZ"/>
        </w:rPr>
        <w:t>Středa</w:t>
      </w:r>
      <w:r>
        <w:rPr>
          <w:rFonts w:ascii="Noto Sans" w:eastAsia="Times New Roman" w:hAnsi="Noto Sans" w:cs="Noto Sans"/>
          <w:sz w:val="20"/>
          <w:szCs w:val="20"/>
          <w:lang w:eastAsia="cs-CZ"/>
        </w:rPr>
        <w:tab/>
      </w:r>
      <w:r>
        <w:rPr>
          <w:rFonts w:ascii="Noto Sans" w:eastAsia="Times New Roman" w:hAnsi="Noto Sans" w:cs="Noto Sans"/>
          <w:sz w:val="20"/>
          <w:szCs w:val="20"/>
          <w:lang w:eastAsia="cs-CZ"/>
        </w:rPr>
        <w:tab/>
      </w:r>
      <w:r w:rsidRPr="006160DF">
        <w:rPr>
          <w:rFonts w:ascii="Noto Sans" w:eastAsia="Times New Roman" w:hAnsi="Noto Sans" w:cs="Noto Sans"/>
          <w:sz w:val="20"/>
          <w:szCs w:val="20"/>
          <w:lang w:eastAsia="cs-CZ"/>
        </w:rPr>
        <w:t>8:00-1</w:t>
      </w:r>
      <w:r>
        <w:rPr>
          <w:rFonts w:ascii="Noto Sans" w:eastAsia="Times New Roman" w:hAnsi="Noto Sans" w:cs="Noto Sans"/>
          <w:sz w:val="20"/>
          <w:szCs w:val="20"/>
          <w:lang w:eastAsia="cs-CZ"/>
        </w:rPr>
        <w:t>4</w:t>
      </w:r>
      <w:r w:rsidRPr="006160DF">
        <w:rPr>
          <w:rFonts w:ascii="Noto Sans" w:eastAsia="Times New Roman" w:hAnsi="Noto Sans" w:cs="Noto Sans"/>
          <w:sz w:val="20"/>
          <w:szCs w:val="20"/>
          <w:lang w:eastAsia="cs-CZ"/>
        </w:rPr>
        <w:t>:</w:t>
      </w:r>
      <w:r>
        <w:rPr>
          <w:rFonts w:ascii="Noto Sans" w:eastAsia="Times New Roman" w:hAnsi="Noto Sans" w:cs="Noto Sans"/>
          <w:sz w:val="20"/>
          <w:szCs w:val="20"/>
          <w:lang w:eastAsia="cs-CZ"/>
        </w:rPr>
        <w:t>0</w:t>
      </w:r>
      <w:r w:rsidRPr="006160DF">
        <w:rPr>
          <w:rFonts w:ascii="Noto Sans" w:eastAsia="Times New Roman" w:hAnsi="Noto Sans" w:cs="Noto Sans"/>
          <w:sz w:val="20"/>
          <w:szCs w:val="20"/>
          <w:lang w:eastAsia="cs-CZ"/>
        </w:rPr>
        <w:t>0 hod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outlineLvl w:val="4"/>
        <w:rPr>
          <w:rFonts w:ascii="Noto Sans" w:eastAsia="Times New Roman" w:hAnsi="Noto Sans" w:cs="Noto Sans"/>
          <w:b/>
          <w:bCs/>
          <w:sz w:val="26"/>
          <w:szCs w:val="26"/>
          <w:lang w:eastAsia="cs-CZ"/>
        </w:rPr>
      </w:pPr>
      <w:r w:rsidRPr="006160DF">
        <w:rPr>
          <w:rFonts w:ascii="Noto Sans" w:eastAsia="Times New Roman" w:hAnsi="Noto Sans" w:cs="Noto Sans"/>
          <w:b/>
          <w:bCs/>
          <w:sz w:val="26"/>
          <w:szCs w:val="26"/>
          <w:lang w:eastAsia="cs-CZ"/>
        </w:rPr>
        <w:t>Kontaktní osoby pro dohodu mimo úřední hodiny: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sz w:val="19"/>
          <w:szCs w:val="19"/>
          <w:lang w:eastAsia="cs-CZ"/>
        </w:rPr>
        <w:t xml:space="preserve">Ing. Jitka </w:t>
      </w:r>
      <w:proofErr w:type="spellStart"/>
      <w:r>
        <w:rPr>
          <w:rFonts w:ascii="Noto Sans" w:eastAsia="Times New Roman" w:hAnsi="Noto Sans" w:cs="Noto Sans"/>
          <w:sz w:val="19"/>
          <w:szCs w:val="19"/>
          <w:lang w:eastAsia="cs-CZ"/>
        </w:rPr>
        <w:t>Štyksová</w:t>
      </w:r>
      <w:proofErr w:type="spellEnd"/>
      <w:r>
        <w:rPr>
          <w:rFonts w:ascii="Noto Sans" w:eastAsia="Times New Roman" w:hAnsi="Noto Sans" w:cs="Noto Sans"/>
          <w:sz w:val="19"/>
          <w:szCs w:val="19"/>
          <w:lang w:eastAsia="cs-CZ"/>
        </w:rPr>
        <w:tab/>
      </w: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tel. </w:t>
      </w:r>
      <w:r w:rsidR="002F2B5F">
        <w:rPr>
          <w:rFonts w:ascii="Noto Sans" w:eastAsia="Times New Roman" w:hAnsi="Noto Sans" w:cs="Noto Sans"/>
          <w:sz w:val="19"/>
          <w:szCs w:val="19"/>
          <w:lang w:eastAsia="cs-CZ"/>
        </w:rPr>
        <w:t>606</w:t>
      </w: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 </w:t>
      </w:r>
      <w:r w:rsidR="002F2B5F">
        <w:rPr>
          <w:rFonts w:ascii="Noto Sans" w:eastAsia="Times New Roman" w:hAnsi="Noto Sans" w:cs="Noto Sans"/>
          <w:sz w:val="19"/>
          <w:szCs w:val="19"/>
          <w:lang w:eastAsia="cs-CZ"/>
        </w:rPr>
        <w:t>3</w:t>
      </w: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57 </w:t>
      </w:r>
      <w:r w:rsidR="002F2B5F">
        <w:rPr>
          <w:rFonts w:ascii="Noto Sans" w:eastAsia="Times New Roman" w:hAnsi="Noto Sans" w:cs="Noto Sans"/>
          <w:sz w:val="19"/>
          <w:szCs w:val="19"/>
          <w:lang w:eastAsia="cs-CZ"/>
        </w:rPr>
        <w:t>436</w:t>
      </w:r>
    </w:p>
    <w:p w:rsidR="006160DF" w:rsidRPr="006160DF" w:rsidRDefault="006160DF" w:rsidP="006160DF">
      <w:pPr>
        <w:shd w:val="clear" w:color="auto" w:fill="FFFFFF" w:themeFill="background1"/>
        <w:spacing w:after="0" w:line="240" w:lineRule="auto"/>
        <w:rPr>
          <w:rFonts w:ascii="Noto Sans" w:eastAsia="Times New Roman" w:hAnsi="Noto Sans" w:cs="Noto Sans"/>
          <w:sz w:val="19"/>
          <w:szCs w:val="19"/>
          <w:lang w:eastAsia="cs-CZ"/>
        </w:rPr>
      </w:pPr>
      <w:r>
        <w:rPr>
          <w:rFonts w:ascii="Noto Sans" w:eastAsia="Times New Roman" w:hAnsi="Noto Sans" w:cs="Noto Sans"/>
          <w:sz w:val="19"/>
          <w:szCs w:val="19"/>
          <w:lang w:eastAsia="cs-CZ"/>
        </w:rPr>
        <w:t xml:space="preserve">Lucie </w:t>
      </w:r>
      <w:proofErr w:type="spellStart"/>
      <w:r>
        <w:rPr>
          <w:rFonts w:ascii="Noto Sans" w:eastAsia="Times New Roman" w:hAnsi="Noto Sans" w:cs="Noto Sans"/>
          <w:sz w:val="19"/>
          <w:szCs w:val="19"/>
          <w:lang w:eastAsia="cs-CZ"/>
        </w:rPr>
        <w:t>Liďáková</w:t>
      </w:r>
      <w:proofErr w:type="spellEnd"/>
      <w:r>
        <w:rPr>
          <w:rFonts w:ascii="Noto Sans" w:eastAsia="Times New Roman" w:hAnsi="Noto Sans" w:cs="Noto Sans"/>
          <w:sz w:val="19"/>
          <w:szCs w:val="19"/>
          <w:lang w:eastAsia="cs-CZ"/>
        </w:rPr>
        <w:tab/>
      </w:r>
      <w:r>
        <w:rPr>
          <w:rFonts w:ascii="Noto Sans" w:eastAsia="Times New Roman" w:hAnsi="Noto Sans" w:cs="Noto Sans"/>
          <w:sz w:val="19"/>
          <w:szCs w:val="19"/>
          <w:lang w:eastAsia="cs-CZ"/>
        </w:rPr>
        <w:tab/>
      </w: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tel. 7</w:t>
      </w:r>
      <w:r>
        <w:rPr>
          <w:rFonts w:ascii="Noto Sans" w:eastAsia="Times New Roman" w:hAnsi="Noto Sans" w:cs="Noto Sans"/>
          <w:sz w:val="19"/>
          <w:szCs w:val="19"/>
          <w:lang w:eastAsia="cs-CZ"/>
        </w:rPr>
        <w:t>3</w:t>
      </w: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>7 </w:t>
      </w:r>
      <w:r>
        <w:rPr>
          <w:rFonts w:ascii="Noto Sans" w:eastAsia="Times New Roman" w:hAnsi="Noto Sans" w:cs="Noto Sans"/>
          <w:sz w:val="19"/>
          <w:szCs w:val="19"/>
          <w:lang w:eastAsia="cs-CZ"/>
        </w:rPr>
        <w:t>548</w:t>
      </w:r>
      <w:r w:rsidRPr="006160DF">
        <w:rPr>
          <w:rFonts w:ascii="Noto Sans" w:eastAsia="Times New Roman" w:hAnsi="Noto Sans" w:cs="Noto Sans"/>
          <w:sz w:val="19"/>
          <w:szCs w:val="19"/>
          <w:lang w:eastAsia="cs-CZ"/>
        </w:rPr>
        <w:t xml:space="preserve"> </w:t>
      </w:r>
      <w:r>
        <w:rPr>
          <w:rFonts w:ascii="Noto Sans" w:eastAsia="Times New Roman" w:hAnsi="Noto Sans" w:cs="Noto Sans"/>
          <w:sz w:val="19"/>
          <w:szCs w:val="19"/>
          <w:lang w:eastAsia="cs-CZ"/>
        </w:rPr>
        <w:t>643</w:t>
      </w:r>
    </w:p>
    <w:sectPr w:rsidR="006160DF" w:rsidRPr="0061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BA0"/>
    <w:multiLevelType w:val="multilevel"/>
    <w:tmpl w:val="4BB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E4CEB"/>
    <w:multiLevelType w:val="multilevel"/>
    <w:tmpl w:val="4DE6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DF"/>
    <w:rsid w:val="00280EC8"/>
    <w:rsid w:val="002F2B5F"/>
    <w:rsid w:val="003E1702"/>
    <w:rsid w:val="006160DF"/>
    <w:rsid w:val="00C236CC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01F0"/>
  <w15:chartTrackingRefBased/>
  <w15:docId w15:val="{1AC3E22C-2197-44F5-BC2D-2431026E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6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6160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60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160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6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6</cp:revision>
  <dcterms:created xsi:type="dcterms:W3CDTF">2019-06-25T08:35:00Z</dcterms:created>
  <dcterms:modified xsi:type="dcterms:W3CDTF">2019-06-25T08:58:00Z</dcterms:modified>
</cp:coreProperties>
</file>