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5B67" w14:textId="004EAD48" w:rsidR="00FD0221" w:rsidRPr="00D27367" w:rsidRDefault="00770517" w:rsidP="00D3126F">
      <w:pPr>
        <w:pStyle w:val="Nzev"/>
        <w:rPr>
          <w:u w:val="single"/>
        </w:rPr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06E05439" wp14:editId="7DFA92F1">
            <wp:simplePos x="0" y="0"/>
            <wp:positionH relativeFrom="margin">
              <wp:posOffset>5636260</wp:posOffset>
            </wp:positionH>
            <wp:positionV relativeFrom="margin">
              <wp:posOffset>152400</wp:posOffset>
            </wp:positionV>
            <wp:extent cx="1009650" cy="10096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D3126F" w:rsidRPr="00D27367">
        <w:rPr>
          <w:u w:val="single"/>
        </w:rPr>
        <w:t>Závěrečn</w:t>
      </w:r>
      <w:r w:rsidR="009E6E47" w:rsidRPr="00D27367">
        <w:rPr>
          <w:u w:val="single"/>
        </w:rPr>
        <w:t>Ý</w:t>
      </w:r>
      <w:r w:rsidR="00FD0221" w:rsidRPr="00D27367">
        <w:rPr>
          <w:u w:val="single"/>
        </w:rPr>
        <w:t xml:space="preserve"> </w:t>
      </w:r>
      <w:r w:rsidR="00D62862" w:rsidRPr="00D27367">
        <w:rPr>
          <w:u w:val="single"/>
        </w:rPr>
        <w:t xml:space="preserve"> </w:t>
      </w:r>
      <w:r w:rsidR="00FD0221" w:rsidRPr="00D27367">
        <w:rPr>
          <w:u w:val="single"/>
        </w:rPr>
        <w:t>úč</w:t>
      </w:r>
      <w:r w:rsidR="009E6E47" w:rsidRPr="00D27367">
        <w:rPr>
          <w:u w:val="single"/>
        </w:rPr>
        <w:t>E</w:t>
      </w:r>
      <w:r w:rsidR="00FD0221" w:rsidRPr="00D27367">
        <w:rPr>
          <w:u w:val="single"/>
        </w:rPr>
        <w:t>t</w:t>
      </w:r>
      <w:proofErr w:type="gramEnd"/>
      <w:r w:rsidR="00B44E15" w:rsidRPr="00D27367">
        <w:rPr>
          <w:u w:val="single"/>
        </w:rPr>
        <w:t xml:space="preserve"> </w:t>
      </w:r>
      <w:r w:rsidR="00A4245D">
        <w:rPr>
          <w:u w:val="single"/>
        </w:rPr>
        <w:t xml:space="preserve"> </w:t>
      </w:r>
      <w:r w:rsidR="00B44E15" w:rsidRPr="00D27367">
        <w:rPr>
          <w:u w:val="single"/>
        </w:rPr>
        <w:t>OBCE  NEDOMICE</w:t>
      </w:r>
      <w:r w:rsidR="00D62862" w:rsidRPr="00D27367">
        <w:rPr>
          <w:u w:val="single"/>
        </w:rPr>
        <w:t xml:space="preserve"> </w:t>
      </w:r>
      <w:r w:rsidR="00B44E15" w:rsidRPr="00D27367">
        <w:rPr>
          <w:u w:val="single"/>
        </w:rPr>
        <w:t xml:space="preserve"> </w:t>
      </w:r>
      <w:r w:rsidR="00FD0221" w:rsidRPr="00D27367">
        <w:rPr>
          <w:u w:val="single"/>
        </w:rPr>
        <w:t>za</w:t>
      </w:r>
      <w:r w:rsidR="00D62862" w:rsidRPr="00D27367">
        <w:rPr>
          <w:u w:val="single"/>
        </w:rPr>
        <w:t xml:space="preserve"> </w:t>
      </w:r>
      <w:r w:rsidR="00FD0221" w:rsidRPr="00D27367">
        <w:rPr>
          <w:u w:val="single"/>
        </w:rPr>
        <w:t xml:space="preserve"> rok</w:t>
      </w:r>
      <w:r w:rsidR="00D62862" w:rsidRPr="00D27367">
        <w:rPr>
          <w:u w:val="single"/>
        </w:rPr>
        <w:t xml:space="preserve"> </w:t>
      </w:r>
      <w:r w:rsidR="00FD0221" w:rsidRPr="00D27367">
        <w:rPr>
          <w:u w:val="single"/>
        </w:rPr>
        <w:t xml:space="preserve"> </w:t>
      </w:r>
      <w:r w:rsidR="008E52CE">
        <w:rPr>
          <w:u w:val="single"/>
        </w:rPr>
        <w:t>202</w:t>
      </w:r>
      <w:r w:rsidR="00EB4F25">
        <w:rPr>
          <w:u w:val="single"/>
        </w:rPr>
        <w:t>1</w:t>
      </w:r>
      <w:r w:rsidR="00E36E8C" w:rsidRPr="00D27367">
        <w:rPr>
          <w:u w:val="single"/>
        </w:rPr>
        <w:t xml:space="preserve"> - komentář</w:t>
      </w:r>
    </w:p>
    <w:p w14:paraId="3AC9605A" w14:textId="77777777" w:rsidR="00FC0F22" w:rsidRPr="00D27367" w:rsidRDefault="00FC0F22" w:rsidP="00FD111C">
      <w:pPr>
        <w:pStyle w:val="Nzev"/>
        <w:ind w:left="708" w:firstLine="708"/>
        <w:jc w:val="both"/>
        <w:rPr>
          <w:sz w:val="22"/>
          <w:szCs w:val="22"/>
          <w:u w:val="single"/>
        </w:rPr>
      </w:pPr>
    </w:p>
    <w:p w14:paraId="4D063EE3" w14:textId="77777777" w:rsidR="00D3126F" w:rsidRPr="00BC65C3" w:rsidRDefault="00D3126F" w:rsidP="00A4125F">
      <w:pPr>
        <w:jc w:val="both"/>
        <w:rPr>
          <w:b/>
        </w:rPr>
      </w:pPr>
      <w:r w:rsidRPr="00BC65C3">
        <w:rPr>
          <w:b/>
        </w:rPr>
        <w:t>Název obce:</w:t>
      </w:r>
      <w:r w:rsidRPr="00BC65C3">
        <w:rPr>
          <w:b/>
        </w:rPr>
        <w:tab/>
      </w:r>
      <w:r w:rsidR="00F730A2" w:rsidRPr="00770517">
        <w:rPr>
          <w:bCs/>
        </w:rPr>
        <w:t>Nedomice</w:t>
      </w:r>
    </w:p>
    <w:p w14:paraId="03A75ACB" w14:textId="7228D103" w:rsidR="00D3126F" w:rsidRPr="00BC65C3" w:rsidRDefault="00D3126F" w:rsidP="00A4125F">
      <w:pPr>
        <w:jc w:val="both"/>
        <w:rPr>
          <w:b/>
        </w:rPr>
      </w:pPr>
      <w:r w:rsidRPr="00BC65C3">
        <w:rPr>
          <w:b/>
        </w:rPr>
        <w:t>Adresa:</w:t>
      </w:r>
      <w:r w:rsidRPr="00BC65C3">
        <w:rPr>
          <w:b/>
        </w:rPr>
        <w:tab/>
      </w:r>
      <w:r w:rsidR="00F730A2" w:rsidRPr="00770517">
        <w:rPr>
          <w:bCs/>
        </w:rPr>
        <w:t>Nedomice</w:t>
      </w:r>
      <w:r w:rsidRPr="00770517">
        <w:rPr>
          <w:bCs/>
        </w:rPr>
        <w:t xml:space="preserve"> 7</w:t>
      </w:r>
      <w:r w:rsidR="00F730A2" w:rsidRPr="00770517">
        <w:rPr>
          <w:bCs/>
        </w:rPr>
        <w:t>8</w:t>
      </w:r>
      <w:r w:rsidRPr="00770517">
        <w:rPr>
          <w:bCs/>
        </w:rPr>
        <w:t xml:space="preserve">, </w:t>
      </w:r>
      <w:r w:rsidR="00F730A2" w:rsidRPr="00770517">
        <w:rPr>
          <w:bCs/>
        </w:rPr>
        <w:t>277</w:t>
      </w:r>
      <w:r w:rsidRPr="00770517">
        <w:rPr>
          <w:bCs/>
        </w:rPr>
        <w:t xml:space="preserve"> </w:t>
      </w:r>
      <w:proofErr w:type="gramStart"/>
      <w:r w:rsidR="00F730A2" w:rsidRPr="00770517">
        <w:rPr>
          <w:bCs/>
        </w:rPr>
        <w:t>14</w:t>
      </w:r>
      <w:r w:rsidRPr="00770517">
        <w:rPr>
          <w:bCs/>
        </w:rPr>
        <w:t xml:space="preserve"> </w:t>
      </w:r>
      <w:r w:rsidR="00F730A2" w:rsidRPr="00770517">
        <w:rPr>
          <w:bCs/>
        </w:rPr>
        <w:t xml:space="preserve"> Nedomice</w:t>
      </w:r>
      <w:proofErr w:type="gramEnd"/>
    </w:p>
    <w:p w14:paraId="4652C66F" w14:textId="3B9B594B" w:rsidR="00D3126F" w:rsidRPr="00BC65C3" w:rsidRDefault="00D3126F" w:rsidP="00A4125F">
      <w:pPr>
        <w:jc w:val="both"/>
        <w:rPr>
          <w:b/>
        </w:rPr>
      </w:pPr>
      <w:r w:rsidRPr="00BC65C3">
        <w:rPr>
          <w:b/>
        </w:rPr>
        <w:t>IČ</w:t>
      </w:r>
      <w:r w:rsidR="007E4BB9">
        <w:rPr>
          <w:b/>
        </w:rPr>
        <w:t>O</w:t>
      </w:r>
      <w:r w:rsidRPr="00BC65C3">
        <w:rPr>
          <w:b/>
        </w:rPr>
        <w:t>:</w:t>
      </w:r>
      <w:r w:rsidRPr="00BC65C3">
        <w:rPr>
          <w:b/>
        </w:rPr>
        <w:tab/>
      </w:r>
      <w:r w:rsidRPr="00BC65C3">
        <w:rPr>
          <w:b/>
        </w:rPr>
        <w:tab/>
      </w:r>
      <w:r w:rsidR="00F730A2" w:rsidRPr="00770517">
        <w:rPr>
          <w:bCs/>
        </w:rPr>
        <w:t>00662259</w:t>
      </w:r>
    </w:p>
    <w:p w14:paraId="70935C00" w14:textId="67B4C1F0" w:rsidR="00FC0F22" w:rsidRDefault="00770517" w:rsidP="00A4125F">
      <w:pPr>
        <w:jc w:val="both"/>
      </w:pPr>
      <w:r w:rsidRPr="00770517">
        <w:rPr>
          <w:b/>
          <w:bCs/>
        </w:rPr>
        <w:t>Starostka:</w:t>
      </w:r>
      <w:r>
        <w:tab/>
        <w:t>Ing. Jitka Štyksová</w:t>
      </w:r>
    </w:p>
    <w:p w14:paraId="1C8110CC" w14:textId="63E0B074" w:rsidR="00770517" w:rsidRDefault="00770517" w:rsidP="00A4125F">
      <w:pPr>
        <w:jc w:val="both"/>
      </w:pPr>
      <w:r w:rsidRPr="00770517">
        <w:rPr>
          <w:b/>
          <w:bCs/>
        </w:rPr>
        <w:t>Účetní:</w:t>
      </w:r>
      <w:r>
        <w:tab/>
        <w:t>Lucie Liďáková</w:t>
      </w:r>
    </w:p>
    <w:p w14:paraId="603D575F" w14:textId="09E10D10" w:rsidR="00D27367" w:rsidRDefault="002236A0" w:rsidP="00A412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Nedomicích dne 29.4.2022</w:t>
      </w:r>
    </w:p>
    <w:p w14:paraId="64208258" w14:textId="77777777" w:rsidR="00BF57D1" w:rsidRPr="007A6879" w:rsidRDefault="00BF57D1" w:rsidP="00A4125F">
      <w:pPr>
        <w:jc w:val="both"/>
      </w:pPr>
    </w:p>
    <w:p w14:paraId="2C4DBC97" w14:textId="77777777" w:rsidR="00FD0221" w:rsidRPr="007A6879" w:rsidRDefault="00D3126F" w:rsidP="00A4125F">
      <w:pPr>
        <w:jc w:val="both"/>
      </w:pPr>
      <w:r w:rsidRPr="007A6879">
        <w:t xml:space="preserve">V souladu s </w:t>
      </w:r>
      <w:r w:rsidR="00FD0221" w:rsidRPr="007A6879">
        <w:t xml:space="preserve">§ 17 zákona </w:t>
      </w:r>
      <w:r w:rsidR="004D46AF">
        <w:t xml:space="preserve">č. </w:t>
      </w:r>
      <w:r w:rsidR="00FD0221" w:rsidRPr="007A6879">
        <w:t>250/2000 Sb., o rozpočtových pravidlech územních rozpočtů</w:t>
      </w:r>
      <w:r w:rsidR="00B44E15">
        <w:t xml:space="preserve"> zpracovala Obec Nedomice návrh závěrečného účtu. Při zpracování byly použity podklady z roční uzávěrky, z výsledku provedené inventarizace, evidence majetku a dalších pomocných podkladů. Návrh závěrečného účtu bude vyvěšen na úřední desce 15 dní před jeho schválením, aby byla dostatečná možnost k vyjádření ze strany občanů, jak ukládá zákon</w:t>
      </w:r>
      <w:r w:rsidR="004D46AF">
        <w:t>.</w:t>
      </w:r>
    </w:p>
    <w:p w14:paraId="3D48C7F8" w14:textId="77777777" w:rsidR="00FD0221" w:rsidRDefault="00FD0221" w:rsidP="00A4125F">
      <w:pPr>
        <w:jc w:val="both"/>
      </w:pPr>
    </w:p>
    <w:p w14:paraId="2C2C4A24" w14:textId="574144EF" w:rsidR="00FC0F22" w:rsidRDefault="00347078" w:rsidP="00A4125F">
      <w:pPr>
        <w:jc w:val="both"/>
      </w:pPr>
      <w:r w:rsidRPr="000A5E78">
        <w:t>Připomínky k návrhu závěrečného účtu mohou občané uplatnit buď písemně ve lhůtě stanovené při zveřejnění závěrečného účtu</w:t>
      </w:r>
      <w:r>
        <w:t xml:space="preserve">, </w:t>
      </w:r>
      <w:r w:rsidRPr="000A5E78">
        <w:t>nebo ústně na zasedání zastupitelstva, na kterém bude návrh závěrečného účtu projednáván</w:t>
      </w:r>
      <w:r>
        <w:t xml:space="preserve">. Součástí závěrečného účtu je Účetní závěrka, která bude současně projednávána se závěrečným účtem na zastupitelstvu </w:t>
      </w:r>
      <w:r w:rsidR="004C7ACF">
        <w:t>do 30</w:t>
      </w:r>
      <w:r w:rsidR="003B5CAE">
        <w:t>.</w:t>
      </w:r>
      <w:r w:rsidR="00DA5999">
        <w:t>6</w:t>
      </w:r>
      <w:r w:rsidR="003B5CAE">
        <w:t>.20</w:t>
      </w:r>
      <w:r w:rsidR="00D47563">
        <w:t>2</w:t>
      </w:r>
      <w:r w:rsidR="00EB4F25">
        <w:t>2</w:t>
      </w:r>
      <w:r w:rsidRPr="000A5E78">
        <w:t>.</w:t>
      </w:r>
    </w:p>
    <w:p w14:paraId="389B8086" w14:textId="77777777" w:rsidR="00D27367" w:rsidRPr="007A6879" w:rsidRDefault="00D27367" w:rsidP="00A4125F">
      <w:pPr>
        <w:jc w:val="both"/>
      </w:pPr>
    </w:p>
    <w:p w14:paraId="409E714B" w14:textId="26D7FF83" w:rsidR="00FD0221" w:rsidRPr="007A6879" w:rsidRDefault="00FD0221" w:rsidP="00FD111C">
      <w:pPr>
        <w:jc w:val="both"/>
        <w:rPr>
          <w:b/>
          <w:bCs/>
        </w:rPr>
      </w:pPr>
      <w:r w:rsidRPr="007A6879">
        <w:rPr>
          <w:b/>
          <w:bCs/>
        </w:rPr>
        <w:t>1) Údaje o plnění příjmů a výdajů za rok 20</w:t>
      </w:r>
      <w:r w:rsidR="00312BA5">
        <w:rPr>
          <w:b/>
          <w:bCs/>
        </w:rPr>
        <w:t>2</w:t>
      </w:r>
      <w:r w:rsidR="00EB4F25">
        <w:rPr>
          <w:b/>
          <w:bCs/>
        </w:rPr>
        <w:t>1</w:t>
      </w:r>
      <w:r w:rsidR="00FC0F22">
        <w:rPr>
          <w:b/>
          <w:bCs/>
        </w:rPr>
        <w:t xml:space="preserve"> </w:t>
      </w:r>
      <w:r w:rsidR="00FC0F22" w:rsidRPr="007A6879">
        <w:t>(údaje jsou v Kč)</w:t>
      </w:r>
    </w:p>
    <w:p w14:paraId="196D1135" w14:textId="7D48D32F" w:rsidR="004A6420" w:rsidRDefault="00FC0F22" w:rsidP="00FC0F22">
      <w:pPr>
        <w:jc w:val="both"/>
      </w:pPr>
      <w:r>
        <w:t xml:space="preserve">    </w:t>
      </w:r>
      <w:r w:rsidR="004D46AF">
        <w:t>Obec Nedomice hospodařila v roce 20</w:t>
      </w:r>
      <w:r w:rsidR="00312BA5">
        <w:t>2</w:t>
      </w:r>
      <w:r w:rsidR="00EB4F25">
        <w:t>1</w:t>
      </w:r>
      <w:r w:rsidR="004D46AF">
        <w:t xml:space="preserve"> na základě schváleného rozpočtu.</w:t>
      </w:r>
    </w:p>
    <w:p w14:paraId="0839D242" w14:textId="77777777" w:rsidR="00FD0221" w:rsidRPr="007A6879" w:rsidRDefault="00FD0221" w:rsidP="00FD0221">
      <w:pPr>
        <w:ind w:left="360"/>
        <w:jc w:val="both"/>
      </w:pPr>
    </w:p>
    <w:tbl>
      <w:tblPr>
        <w:tblW w:w="83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1418"/>
        <w:gridCol w:w="1418"/>
        <w:gridCol w:w="1424"/>
        <w:gridCol w:w="1233"/>
      </w:tblGrid>
      <w:tr w:rsidR="00C53ED1" w:rsidRPr="00FD0221" w14:paraId="4B98B497" w14:textId="77777777" w:rsidTr="00C53ED1">
        <w:trPr>
          <w:trHeight w:val="78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3E3B4" w14:textId="77777777"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32CEF" w14:textId="77777777" w:rsidR="00C53ED1" w:rsidRPr="00FD0221" w:rsidRDefault="00C53ED1" w:rsidP="00E52D16">
            <w:pPr>
              <w:jc w:val="center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Schválený rozpočet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F9DAC" w14:textId="77777777" w:rsidR="00C53ED1" w:rsidRPr="00FD0221" w:rsidRDefault="00C53ED1" w:rsidP="00E52D16">
            <w:pPr>
              <w:jc w:val="center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Upravený rozpočet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0A8F2" w14:textId="2FF35EA8" w:rsidR="00C53ED1" w:rsidRPr="00FD0221" w:rsidRDefault="00C53ED1" w:rsidP="008D2984">
            <w:pPr>
              <w:jc w:val="center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Plnění k 31.12.</w:t>
            </w:r>
            <w:r>
              <w:rPr>
                <w:sz w:val="22"/>
                <w:szCs w:val="22"/>
              </w:rPr>
              <w:t>20</w:t>
            </w:r>
            <w:r w:rsidR="00B35B6C">
              <w:rPr>
                <w:sz w:val="22"/>
                <w:szCs w:val="22"/>
              </w:rPr>
              <w:t>2</w:t>
            </w:r>
            <w:r w:rsidR="003259EF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E4778" w14:textId="77777777" w:rsidR="00C53ED1" w:rsidRPr="00FD0221" w:rsidRDefault="00C53ED1" w:rsidP="00E52D16">
            <w:pPr>
              <w:jc w:val="center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% plnění k upravenému                  rozpočtu</w:t>
            </w:r>
          </w:p>
        </w:tc>
      </w:tr>
      <w:tr w:rsidR="00C53ED1" w:rsidRPr="00FD0221" w14:paraId="328DCCA3" w14:textId="77777777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4D135" w14:textId="77777777"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EABB9E" w14:textId="0C8D7AA5" w:rsidR="00C53ED1" w:rsidRPr="008D2984" w:rsidRDefault="00C53ED1" w:rsidP="008D2984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C50B3">
              <w:rPr>
                <w:sz w:val="22"/>
                <w:szCs w:val="22"/>
              </w:rPr>
              <w:t>8</w:t>
            </w:r>
            <w:r w:rsidR="0083046F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.</w:t>
            </w:r>
            <w:r w:rsidR="0083046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00,00</w:t>
            </w:r>
            <w:r w:rsidRPr="008D29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C5C4F" w14:textId="2D1E1DFD" w:rsidR="00C53ED1" w:rsidRPr="00FD0221" w:rsidRDefault="0083046F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53E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489</w:t>
            </w:r>
            <w:r w:rsidR="00C53E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232</w:t>
            </w:r>
            <w:r w:rsidR="00C53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E4094" w14:textId="2BC781F3" w:rsidR="00C53ED1" w:rsidRPr="00FD0221" w:rsidRDefault="0083046F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53E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418</w:t>
            </w:r>
            <w:r w:rsidR="00C53E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304</w:t>
            </w:r>
            <w:r w:rsidR="00C53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04D99" w14:textId="1B735745" w:rsidR="00C53ED1" w:rsidRPr="00FD0221" w:rsidRDefault="0083046F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286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71</w:t>
            </w:r>
          </w:p>
        </w:tc>
      </w:tr>
      <w:tr w:rsidR="00C53ED1" w:rsidRPr="00FD0221" w14:paraId="2E54EBF8" w14:textId="77777777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04BD4" w14:textId="77777777"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99C9DA" w14:textId="7E0FFC42" w:rsidR="00C53ED1" w:rsidRPr="008D2984" w:rsidRDefault="0083046F" w:rsidP="008D2984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475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D47563">
              <w:rPr>
                <w:sz w:val="22"/>
                <w:szCs w:val="22"/>
              </w:rPr>
              <w:t>00</w:t>
            </w:r>
            <w:r w:rsidR="00C53ED1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16EC2" w14:textId="45BC5C2D" w:rsidR="00C53ED1" w:rsidRPr="00FD0221" w:rsidRDefault="0083046F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B81B36">
              <w:rPr>
                <w:sz w:val="22"/>
                <w:szCs w:val="22"/>
              </w:rPr>
              <w:t>5</w:t>
            </w:r>
            <w:r w:rsidR="00C53ED1">
              <w:rPr>
                <w:sz w:val="22"/>
                <w:szCs w:val="22"/>
              </w:rPr>
              <w:t>.</w:t>
            </w:r>
            <w:r w:rsidR="00B81B36">
              <w:rPr>
                <w:sz w:val="22"/>
                <w:szCs w:val="22"/>
              </w:rPr>
              <w:t>510</w:t>
            </w:r>
            <w:r w:rsidR="00C53ED1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2FC05" w14:textId="1A97D132" w:rsidR="00C53ED1" w:rsidRPr="00FD0221" w:rsidRDefault="0083046F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  <w:r w:rsidR="00C53E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162</w:t>
            </w:r>
            <w:r w:rsidR="00D475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6B02BE" w14:textId="7BAD240C" w:rsidR="00C53ED1" w:rsidRPr="00FD0221" w:rsidRDefault="0083046F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4C50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</w:tr>
      <w:tr w:rsidR="00C53ED1" w:rsidRPr="00FD0221" w14:paraId="06D05606" w14:textId="77777777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D64BC" w14:textId="77777777"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3E3964" w14:textId="02BB628F" w:rsidR="00C53ED1" w:rsidRPr="008D2984" w:rsidRDefault="00387966" w:rsidP="006515C3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</w:t>
            </w:r>
            <w:r w:rsidR="00B81B36">
              <w:rPr>
                <w:sz w:val="22"/>
                <w:szCs w:val="22"/>
              </w:rPr>
              <w:t>000</w:t>
            </w:r>
            <w:r w:rsidR="00C53ED1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C9AE6" w14:textId="5A906B83" w:rsidR="00C53ED1" w:rsidRPr="00FD0221" w:rsidRDefault="004C50B3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286D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C53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F6723" w14:textId="4E3EA138" w:rsidR="00C53ED1" w:rsidRPr="00FD0221" w:rsidRDefault="00387966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86DAC">
              <w:rPr>
                <w:sz w:val="22"/>
                <w:szCs w:val="22"/>
              </w:rPr>
              <w:t>.</w:t>
            </w:r>
            <w:r w:rsidR="004C50B3">
              <w:rPr>
                <w:sz w:val="22"/>
                <w:szCs w:val="22"/>
              </w:rPr>
              <w:t>000</w:t>
            </w:r>
            <w:r w:rsidR="00C53ED1">
              <w:rPr>
                <w:sz w:val="22"/>
                <w:szCs w:val="22"/>
              </w:rPr>
              <w:t>,</w:t>
            </w:r>
            <w:r w:rsidR="004C50B3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646DAC" w14:textId="25ABE22B" w:rsidR="00C53ED1" w:rsidRPr="00FD0221" w:rsidRDefault="00B81B36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53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4C50B3">
              <w:rPr>
                <w:sz w:val="22"/>
                <w:szCs w:val="22"/>
              </w:rPr>
              <w:t>0</w:t>
            </w:r>
          </w:p>
        </w:tc>
      </w:tr>
      <w:tr w:rsidR="00C53ED1" w:rsidRPr="00FD0221" w14:paraId="0DC85B99" w14:textId="77777777" w:rsidTr="00C53ED1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0E572" w14:textId="77777777"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Třída 4 - Přijaté </w:t>
            </w: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F01E8" w14:textId="153CDAC7" w:rsidR="00C53ED1" w:rsidRPr="00FD0221" w:rsidRDefault="00B81B36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C53E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C53ED1">
              <w:rPr>
                <w:sz w:val="22"/>
                <w:szCs w:val="22"/>
              </w:rPr>
              <w:t>00,00</w:t>
            </w:r>
            <w:r w:rsidR="00C53ED1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903AB" w14:textId="483ED3B8" w:rsidR="00C53ED1" w:rsidRPr="00FD0221" w:rsidRDefault="00B81B36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6D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639</w:t>
            </w:r>
            <w:r w:rsidR="00C53E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711</w:t>
            </w:r>
            <w:r w:rsidR="00C53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E62A9" w14:textId="38168635" w:rsidR="00C53ED1" w:rsidRPr="00FD0221" w:rsidRDefault="00B81B36" w:rsidP="001F2C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6D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639</w:t>
            </w:r>
            <w:r w:rsidR="00286D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582</w:t>
            </w:r>
            <w:r w:rsidR="00286DAC">
              <w:rPr>
                <w:sz w:val="22"/>
                <w:szCs w:val="22"/>
              </w:rPr>
              <w:t>,</w:t>
            </w:r>
            <w:r w:rsidR="004C50B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9B8EF5" w14:textId="7B237F99" w:rsidR="00C53ED1" w:rsidRPr="00FD0221" w:rsidRDefault="00B81B36" w:rsidP="001F2C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286DAC">
              <w:rPr>
                <w:sz w:val="22"/>
                <w:szCs w:val="22"/>
              </w:rPr>
              <w:t>,</w:t>
            </w:r>
            <w:r w:rsidR="004C50B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</w:p>
        </w:tc>
      </w:tr>
      <w:tr w:rsidR="00C53ED1" w:rsidRPr="00D5173E" w14:paraId="339D02FC" w14:textId="77777777" w:rsidTr="00C53ED1">
        <w:trPr>
          <w:trHeight w:val="27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EA32B" w14:textId="77777777" w:rsidR="00C53ED1" w:rsidRPr="00FD0221" w:rsidRDefault="00C53ED1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Příjmy celkem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6975D" w14:textId="028B8382" w:rsidR="00C53ED1" w:rsidRPr="00FD0221" w:rsidRDefault="004C50B3" w:rsidP="001F2CE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53ED1">
              <w:rPr>
                <w:b/>
                <w:bCs/>
                <w:sz w:val="22"/>
                <w:szCs w:val="22"/>
              </w:rPr>
              <w:t>.</w:t>
            </w:r>
            <w:r w:rsidR="00B81B36">
              <w:rPr>
                <w:b/>
                <w:bCs/>
                <w:sz w:val="22"/>
                <w:szCs w:val="22"/>
              </w:rPr>
              <w:t>280</w:t>
            </w:r>
            <w:r w:rsidR="00C53ED1">
              <w:rPr>
                <w:b/>
                <w:bCs/>
                <w:sz w:val="22"/>
                <w:szCs w:val="22"/>
              </w:rPr>
              <w:t>.</w:t>
            </w:r>
            <w:r w:rsidR="00B81B36">
              <w:rPr>
                <w:b/>
                <w:bCs/>
                <w:sz w:val="22"/>
                <w:szCs w:val="22"/>
              </w:rPr>
              <w:t>1</w:t>
            </w:r>
            <w:r w:rsidR="007C00CD">
              <w:rPr>
                <w:b/>
                <w:bCs/>
                <w:sz w:val="22"/>
                <w:szCs w:val="22"/>
              </w:rPr>
              <w:t>00</w:t>
            </w:r>
            <w:r w:rsidR="00C53ED1">
              <w:rPr>
                <w:b/>
                <w:bCs/>
                <w:sz w:val="22"/>
                <w:szCs w:val="22"/>
              </w:rPr>
              <w:t>,</w:t>
            </w:r>
            <w:r w:rsidR="007C00CD">
              <w:rPr>
                <w:b/>
                <w:bCs/>
                <w:sz w:val="22"/>
                <w:szCs w:val="22"/>
              </w:rPr>
              <w:t>00</w:t>
            </w:r>
            <w:r w:rsidR="00C53ED1">
              <w:rPr>
                <w:b/>
                <w:bCs/>
                <w:sz w:val="22"/>
                <w:szCs w:val="22"/>
              </w:rPr>
              <w:t xml:space="preserve"> </w:t>
            </w:r>
            <w:r w:rsidR="00C53ED1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9B676" w14:textId="1D4CD54F" w:rsidR="00C53ED1" w:rsidRPr="00FD0221" w:rsidRDefault="004C50B3" w:rsidP="001F2CE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C53ED1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B81B36">
              <w:rPr>
                <w:b/>
                <w:bCs/>
                <w:sz w:val="22"/>
                <w:szCs w:val="22"/>
              </w:rPr>
              <w:t>64</w:t>
            </w:r>
            <w:r w:rsidR="00286DAC">
              <w:rPr>
                <w:b/>
                <w:bCs/>
                <w:sz w:val="22"/>
                <w:szCs w:val="22"/>
              </w:rPr>
              <w:t>.</w:t>
            </w:r>
            <w:r w:rsidR="00B81B36">
              <w:rPr>
                <w:b/>
                <w:bCs/>
                <w:sz w:val="22"/>
                <w:szCs w:val="22"/>
              </w:rPr>
              <w:t>454</w:t>
            </w:r>
            <w:r w:rsidR="00C53ED1">
              <w:rPr>
                <w:b/>
                <w:bCs/>
                <w:sz w:val="22"/>
                <w:szCs w:val="22"/>
              </w:rPr>
              <w:t>,</w:t>
            </w:r>
            <w:r w:rsidR="00B81B36">
              <w:rPr>
                <w:b/>
                <w:bCs/>
                <w:sz w:val="22"/>
                <w:szCs w:val="22"/>
              </w:rPr>
              <w:t>60</w:t>
            </w:r>
            <w:r w:rsidR="00C53ED1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98105" w14:textId="5BE18B93" w:rsidR="00C53ED1" w:rsidRPr="00FD0221" w:rsidRDefault="00B81B36" w:rsidP="001F2CE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C53ED1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382</w:t>
            </w:r>
            <w:r w:rsidR="00C53ED1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049</w:t>
            </w:r>
            <w:r w:rsidR="00C53ED1">
              <w:rPr>
                <w:b/>
                <w:bCs/>
                <w:sz w:val="22"/>
                <w:szCs w:val="22"/>
              </w:rPr>
              <w:t>,</w:t>
            </w:r>
            <w:r w:rsidR="004C50B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D76079" w14:textId="7ED0726A" w:rsidR="00C53ED1" w:rsidRPr="00D5173E" w:rsidRDefault="00B81B36" w:rsidP="001F2CE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  <w:r w:rsidR="007C00C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59</w:t>
            </w:r>
          </w:p>
        </w:tc>
      </w:tr>
      <w:tr w:rsidR="00C53ED1" w:rsidRPr="00FD0221" w14:paraId="5C2DBFA7" w14:textId="77777777" w:rsidTr="00C53ED1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84F4C" w14:textId="77777777"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6D09A" w14:textId="77777777" w:rsidR="00C53ED1" w:rsidRPr="00FD0221" w:rsidRDefault="00C53ED1" w:rsidP="00B064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D946A" w14:textId="77777777" w:rsidR="00C53ED1" w:rsidRPr="00FD0221" w:rsidRDefault="00C53ED1" w:rsidP="00B064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372B5" w14:textId="77777777" w:rsidR="00C53ED1" w:rsidRPr="00FD0221" w:rsidRDefault="00C53ED1" w:rsidP="00FD02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D47F8A" w14:textId="77777777" w:rsidR="00C53ED1" w:rsidRPr="00FD0221" w:rsidRDefault="00C53ED1" w:rsidP="00681D60">
            <w:pPr>
              <w:jc w:val="right"/>
              <w:rPr>
                <w:sz w:val="22"/>
                <w:szCs w:val="22"/>
              </w:rPr>
            </w:pPr>
          </w:p>
        </w:tc>
      </w:tr>
      <w:tr w:rsidR="00C53ED1" w:rsidRPr="00FD0221" w14:paraId="0155781A" w14:textId="77777777" w:rsidTr="00C53ED1">
        <w:trPr>
          <w:trHeight w:val="27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E4082" w14:textId="77777777" w:rsidR="00C53ED1" w:rsidRPr="00D5173E" w:rsidRDefault="00C53ED1" w:rsidP="00FD02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Třída 5 – Běžné výdaje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DA912" w14:textId="07EDA06C" w:rsidR="00C53ED1" w:rsidRPr="00D5173E" w:rsidRDefault="001B4695" w:rsidP="00934F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86DAC">
              <w:rPr>
                <w:bCs/>
                <w:sz w:val="22"/>
                <w:szCs w:val="22"/>
              </w:rPr>
              <w:t>.</w:t>
            </w:r>
            <w:r w:rsidR="00454DA8">
              <w:rPr>
                <w:bCs/>
                <w:sz w:val="22"/>
                <w:szCs w:val="22"/>
              </w:rPr>
              <w:t>020</w:t>
            </w:r>
            <w:r w:rsidR="00286DAC">
              <w:rPr>
                <w:bCs/>
                <w:sz w:val="22"/>
                <w:szCs w:val="22"/>
              </w:rPr>
              <w:t>.</w:t>
            </w:r>
            <w:r w:rsidR="00454DA8">
              <w:rPr>
                <w:bCs/>
                <w:sz w:val="22"/>
                <w:szCs w:val="22"/>
              </w:rPr>
              <w:t>1</w:t>
            </w:r>
            <w:r w:rsidR="00286DAC">
              <w:rPr>
                <w:bCs/>
                <w:sz w:val="22"/>
                <w:szCs w:val="22"/>
              </w:rPr>
              <w:t>00,00</w:t>
            </w:r>
            <w:r w:rsidR="00C53ED1" w:rsidRPr="00D5173E">
              <w:rPr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BFC51" w14:textId="7D9DFBF1" w:rsidR="00C53ED1" w:rsidRPr="00D5173E" w:rsidRDefault="00454DA8" w:rsidP="00934F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286DAC">
              <w:rPr>
                <w:bCs/>
                <w:sz w:val="22"/>
                <w:szCs w:val="22"/>
              </w:rPr>
              <w:t>.</w:t>
            </w:r>
            <w:r w:rsidR="00CE448F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21</w:t>
            </w:r>
            <w:r w:rsidR="00286DA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187</w:t>
            </w:r>
            <w:r w:rsidR="00286DAC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B9508" w14:textId="3A91B61D" w:rsidR="00C53ED1" w:rsidRPr="00D5173E" w:rsidRDefault="004C50B3" w:rsidP="00934F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86DAC">
              <w:rPr>
                <w:bCs/>
                <w:sz w:val="22"/>
                <w:szCs w:val="22"/>
              </w:rPr>
              <w:t>.</w:t>
            </w:r>
            <w:r w:rsidR="00454DA8">
              <w:rPr>
                <w:bCs/>
                <w:sz w:val="22"/>
                <w:szCs w:val="22"/>
              </w:rPr>
              <w:t>254</w:t>
            </w:r>
            <w:r w:rsidR="00286DAC">
              <w:rPr>
                <w:bCs/>
                <w:sz w:val="22"/>
                <w:szCs w:val="22"/>
              </w:rPr>
              <w:t>.</w:t>
            </w:r>
            <w:r w:rsidR="00454DA8">
              <w:rPr>
                <w:bCs/>
                <w:sz w:val="22"/>
                <w:szCs w:val="22"/>
              </w:rPr>
              <w:t>718</w:t>
            </w:r>
            <w:r w:rsidR="00286DAC">
              <w:rPr>
                <w:bCs/>
                <w:sz w:val="22"/>
                <w:szCs w:val="22"/>
              </w:rPr>
              <w:t>,</w:t>
            </w:r>
            <w:r w:rsidR="00454DA8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511312" w14:textId="12F7E245" w:rsidR="00C53ED1" w:rsidRPr="00D5173E" w:rsidRDefault="00454DA8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1B46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06</w:t>
            </w:r>
          </w:p>
        </w:tc>
      </w:tr>
      <w:tr w:rsidR="00C53ED1" w:rsidRPr="00FD0221" w14:paraId="3B06559F" w14:textId="77777777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D39C3" w14:textId="77777777" w:rsidR="00C53ED1" w:rsidRPr="00D5173E" w:rsidRDefault="00C53ED1" w:rsidP="00FD0221">
            <w:pPr>
              <w:jc w:val="both"/>
              <w:rPr>
                <w:bCs/>
                <w:sz w:val="22"/>
                <w:szCs w:val="22"/>
              </w:rPr>
            </w:pPr>
            <w:r w:rsidRPr="00D5173E">
              <w:rPr>
                <w:bCs/>
                <w:sz w:val="22"/>
                <w:szCs w:val="22"/>
              </w:rPr>
              <w:t xml:space="preserve">Třída </w:t>
            </w:r>
            <w:r>
              <w:rPr>
                <w:bCs/>
                <w:sz w:val="22"/>
                <w:szCs w:val="22"/>
              </w:rPr>
              <w:t>6</w:t>
            </w:r>
            <w:r w:rsidRPr="00D5173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–</w:t>
            </w:r>
            <w:r w:rsidRPr="00D5173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Kapitálové výdaje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DD026" w14:textId="6CE17FD3" w:rsidR="00C53ED1" w:rsidRPr="00D5173E" w:rsidRDefault="00454DA8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BA7515">
              <w:rPr>
                <w:sz w:val="22"/>
                <w:szCs w:val="22"/>
              </w:rPr>
              <w:t>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70CBC" w14:textId="0CD7F177" w:rsidR="00C53ED1" w:rsidRPr="00D5173E" w:rsidRDefault="00454DA8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86D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508</w:t>
            </w:r>
            <w:r w:rsidR="00286D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766</w:t>
            </w:r>
            <w:r w:rsidR="00286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05459" w14:textId="3E3A77C1" w:rsidR="00C53ED1" w:rsidRPr="00D5173E" w:rsidRDefault="00454DA8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86DAC">
              <w:rPr>
                <w:sz w:val="22"/>
                <w:szCs w:val="22"/>
              </w:rPr>
              <w:t>.</w:t>
            </w:r>
            <w:r w:rsidR="004C50B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57</w:t>
            </w:r>
            <w:r w:rsidR="00286D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569</w:t>
            </w:r>
            <w:r w:rsidR="00286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60C22F" w14:textId="12E27880" w:rsidR="00C53ED1" w:rsidRPr="00D5173E" w:rsidRDefault="00454DA8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CE448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</w:tr>
      <w:tr w:rsidR="00C53ED1" w:rsidRPr="00D5173E" w14:paraId="4961AA39" w14:textId="77777777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F98B6" w14:textId="77777777" w:rsidR="00C53ED1" w:rsidRPr="00D5173E" w:rsidRDefault="00C53ED1" w:rsidP="00FD02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Výdaje celkem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28A28" w14:textId="2B4B7A0D" w:rsidR="00C53ED1" w:rsidRPr="00FD0221" w:rsidRDefault="007F1AC2" w:rsidP="00934F1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A751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280</w:t>
            </w:r>
            <w:r w:rsidR="00BA751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="00BA7515">
              <w:rPr>
                <w:b/>
                <w:sz w:val="22"/>
                <w:szCs w:val="22"/>
              </w:rPr>
              <w:t>00,</w:t>
            </w:r>
            <w:r w:rsidR="00C53ED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B0D1B" w14:textId="7F954D35" w:rsidR="00C53ED1" w:rsidRPr="00FD0221" w:rsidRDefault="007F1AC2" w:rsidP="00934F1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86DA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029</w:t>
            </w:r>
            <w:r w:rsidR="00286DA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954</w:t>
            </w:r>
            <w:r w:rsidR="00286DA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="00286D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27FDA" w14:textId="7DCEBB9B" w:rsidR="00C53ED1" w:rsidRPr="00FD0221" w:rsidRDefault="007F1AC2" w:rsidP="00934F1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286DA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312</w:t>
            </w:r>
            <w:r w:rsidR="00286DA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287</w:t>
            </w:r>
            <w:r w:rsidR="00286DA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BFAD20" w14:textId="5A0ACD36" w:rsidR="00C53ED1" w:rsidRPr="00D5173E" w:rsidRDefault="00454DA8" w:rsidP="00934F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  <w:r w:rsidR="00CE448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87</w:t>
            </w:r>
          </w:p>
        </w:tc>
      </w:tr>
      <w:tr w:rsidR="00C53ED1" w:rsidRPr="00FD0221" w14:paraId="24A8AEFA" w14:textId="77777777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C2173" w14:textId="77777777"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C2354" w14:textId="77777777" w:rsidR="00C53ED1" w:rsidRPr="00FD0221" w:rsidRDefault="00C53ED1" w:rsidP="00FD02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40C3B" w14:textId="77777777" w:rsidR="00C53ED1" w:rsidRPr="00FD0221" w:rsidRDefault="00C53ED1" w:rsidP="00FD02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60E8D" w14:textId="77777777" w:rsidR="00C53ED1" w:rsidRPr="00FD0221" w:rsidRDefault="00C53ED1" w:rsidP="00FD02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48E5E7" w14:textId="77777777" w:rsidR="00C53ED1" w:rsidRPr="00FD0221" w:rsidRDefault="00C53ED1" w:rsidP="00FD0221">
            <w:pPr>
              <w:jc w:val="right"/>
              <w:rPr>
                <w:sz w:val="22"/>
                <w:szCs w:val="22"/>
              </w:rPr>
            </w:pPr>
          </w:p>
        </w:tc>
      </w:tr>
      <w:tr w:rsidR="00C53ED1" w:rsidRPr="00D5173E" w14:paraId="75ED7002" w14:textId="77777777" w:rsidTr="00C53ED1">
        <w:trPr>
          <w:trHeight w:val="25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D8169" w14:textId="77777777" w:rsidR="00C53ED1" w:rsidRPr="00D5173E" w:rsidRDefault="006A6B83" w:rsidP="00FD02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Financování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A9C1F" w14:textId="0AD20A13" w:rsidR="00C53ED1" w:rsidRPr="00D5173E" w:rsidRDefault="00C53ED1" w:rsidP="00D60472">
            <w:pPr>
              <w:jc w:val="right"/>
              <w:rPr>
                <w:b/>
                <w:sz w:val="22"/>
                <w:szCs w:val="22"/>
              </w:rPr>
            </w:pPr>
            <w:r w:rsidRPr="00D5173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41839" w14:textId="79BDB6A4" w:rsidR="00C53ED1" w:rsidRPr="00D5173E" w:rsidRDefault="00A92B8D" w:rsidP="00D604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262FBD">
              <w:rPr>
                <w:b/>
                <w:sz w:val="22"/>
                <w:szCs w:val="22"/>
              </w:rPr>
              <w:t>2.465.500</w:t>
            </w:r>
            <w:r w:rsidR="00E422E5">
              <w:rPr>
                <w:b/>
                <w:sz w:val="22"/>
                <w:szCs w:val="22"/>
              </w:rPr>
              <w:t>,</w:t>
            </w:r>
            <w:r w:rsidR="00262FB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1F6B5" w14:textId="5E52B81F" w:rsidR="00C53ED1" w:rsidRPr="00D5173E" w:rsidRDefault="00A35E1C" w:rsidP="00D604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4C50B3">
              <w:rPr>
                <w:b/>
                <w:sz w:val="22"/>
                <w:szCs w:val="22"/>
              </w:rPr>
              <w:t>9</w:t>
            </w:r>
            <w:r w:rsidR="00262FBD">
              <w:rPr>
                <w:b/>
                <w:sz w:val="22"/>
                <w:szCs w:val="22"/>
              </w:rPr>
              <w:t>30</w:t>
            </w:r>
            <w:r w:rsidR="00E422E5">
              <w:rPr>
                <w:b/>
                <w:sz w:val="22"/>
                <w:szCs w:val="22"/>
              </w:rPr>
              <w:t>.</w:t>
            </w:r>
            <w:r w:rsidR="00262FBD">
              <w:rPr>
                <w:b/>
                <w:sz w:val="22"/>
                <w:szCs w:val="22"/>
              </w:rPr>
              <w:t>238</w:t>
            </w:r>
            <w:r w:rsidR="00E422E5">
              <w:rPr>
                <w:b/>
                <w:sz w:val="22"/>
                <w:szCs w:val="22"/>
              </w:rPr>
              <w:t>,</w:t>
            </w:r>
            <w:r w:rsidR="00262FBD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259D8" w14:textId="6F9777D2" w:rsidR="00C53ED1" w:rsidRPr="00D5173E" w:rsidRDefault="004F5DC0" w:rsidP="00D604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262FBD">
              <w:rPr>
                <w:b/>
                <w:sz w:val="22"/>
                <w:szCs w:val="22"/>
              </w:rPr>
              <w:t>,73</w:t>
            </w:r>
          </w:p>
        </w:tc>
      </w:tr>
    </w:tbl>
    <w:p w14:paraId="30EEF3F0" w14:textId="77777777" w:rsidR="00FD0221" w:rsidRPr="00FD0221" w:rsidRDefault="00FD0221" w:rsidP="00FD0221">
      <w:pPr>
        <w:jc w:val="both"/>
        <w:rPr>
          <w:sz w:val="22"/>
          <w:szCs w:val="22"/>
        </w:rPr>
      </w:pPr>
    </w:p>
    <w:p w14:paraId="5A1117BA" w14:textId="77777777" w:rsidR="00FD0221" w:rsidRPr="00D5173E" w:rsidRDefault="00FD0221" w:rsidP="00A4125F">
      <w:pPr>
        <w:pStyle w:val="Zkladntext"/>
        <w:spacing w:line="240" w:lineRule="auto"/>
        <w:jc w:val="both"/>
      </w:pPr>
      <w:r w:rsidRPr="00D5173E">
        <w:t>Údaje o plnění rozpočtu příjmů, výdajů a o dalších finančních operacích v plném členění podle</w:t>
      </w:r>
      <w:r w:rsidR="00FC0F22">
        <w:t xml:space="preserve"> </w:t>
      </w:r>
      <w:r w:rsidRPr="00D5173E">
        <w:t xml:space="preserve">rozpočtové skladby jsou obsaženy v příloze č. </w:t>
      </w:r>
      <w:smartTag w:uri="urn:schemas-microsoft-com:office:smarttags" w:element="metricconverter">
        <w:smartTagPr>
          <w:attr w:name="ProductID" w:val="1 a"/>
        </w:smartTagPr>
        <w:r w:rsidRPr="00D5173E">
          <w:t>1</w:t>
        </w:r>
        <w:r w:rsidR="00ED11FE">
          <w:t xml:space="preserve"> a</w:t>
        </w:r>
      </w:smartTag>
      <w:r w:rsidR="00ED11FE">
        <w:t xml:space="preserve"> 2</w:t>
      </w:r>
      <w:r w:rsidR="00A52347">
        <w:t xml:space="preserve"> (</w:t>
      </w:r>
      <w:r w:rsidRPr="00D5173E">
        <w:t>k nahlédnutí na obecním úřad</w:t>
      </w:r>
      <w:r w:rsidR="00227E71" w:rsidRPr="00D5173E">
        <w:t>ě</w:t>
      </w:r>
      <w:r w:rsidR="00A52347">
        <w:t xml:space="preserve"> nebo v elektronické podobě na úřední desce)</w:t>
      </w:r>
      <w:r w:rsidRPr="00D5173E">
        <w:t>.</w:t>
      </w:r>
    </w:p>
    <w:p w14:paraId="5CC816BB" w14:textId="77777777" w:rsidR="00FD0221" w:rsidRPr="00FD0221" w:rsidRDefault="00FD0221" w:rsidP="00A4125F">
      <w:pPr>
        <w:pStyle w:val="Zkladntext"/>
        <w:spacing w:line="240" w:lineRule="auto"/>
        <w:jc w:val="both"/>
        <w:rPr>
          <w:sz w:val="22"/>
          <w:szCs w:val="22"/>
        </w:rPr>
      </w:pPr>
    </w:p>
    <w:p w14:paraId="031CEDD0" w14:textId="77777777" w:rsidR="005C2DD5" w:rsidRPr="00194C3F" w:rsidRDefault="005C2DD5" w:rsidP="00A4125F">
      <w:pPr>
        <w:pStyle w:val="Zkladntext"/>
        <w:spacing w:line="240" w:lineRule="auto"/>
        <w:jc w:val="both"/>
        <w:rPr>
          <w:b/>
        </w:rPr>
      </w:pPr>
      <w:r w:rsidRPr="00194C3F">
        <w:rPr>
          <w:b/>
        </w:rPr>
        <w:t>2) Hospodářská činnost obce</w:t>
      </w:r>
    </w:p>
    <w:p w14:paraId="07DBEAEE" w14:textId="77777777" w:rsidR="005C2DD5" w:rsidRPr="00194C3F" w:rsidRDefault="00FC0F22" w:rsidP="00A4125F">
      <w:pPr>
        <w:jc w:val="both"/>
      </w:pPr>
      <w:r>
        <w:t xml:space="preserve">    </w:t>
      </w:r>
      <w:r w:rsidR="005C2DD5" w:rsidRPr="00194C3F">
        <w:t xml:space="preserve">Obec </w:t>
      </w:r>
      <w:proofErr w:type="gramStart"/>
      <w:r w:rsidR="005C2DD5" w:rsidRPr="00194C3F">
        <w:t>nevede  hospodářskou</w:t>
      </w:r>
      <w:proofErr w:type="gramEnd"/>
      <w:r w:rsidR="005C2DD5" w:rsidRPr="00194C3F">
        <w:t xml:space="preserve"> činnost.</w:t>
      </w:r>
    </w:p>
    <w:p w14:paraId="1AD05FF1" w14:textId="77777777" w:rsidR="005C2DD5" w:rsidRPr="00194C3F" w:rsidRDefault="005C2DD5" w:rsidP="00A4125F">
      <w:pPr>
        <w:jc w:val="both"/>
        <w:rPr>
          <w:b/>
          <w:bCs/>
        </w:rPr>
      </w:pPr>
    </w:p>
    <w:p w14:paraId="46FD62DA" w14:textId="77777777" w:rsidR="005C2DD5" w:rsidRPr="00194C3F" w:rsidRDefault="00194C3F" w:rsidP="00A4125F">
      <w:pPr>
        <w:jc w:val="both"/>
        <w:rPr>
          <w:b/>
          <w:bCs/>
        </w:rPr>
      </w:pPr>
      <w:r w:rsidRPr="00194C3F">
        <w:rPr>
          <w:b/>
          <w:bCs/>
        </w:rPr>
        <w:t>3</w:t>
      </w:r>
      <w:r w:rsidR="005C2DD5" w:rsidRPr="00194C3F">
        <w:rPr>
          <w:b/>
          <w:bCs/>
        </w:rPr>
        <w:t>) Stav účelových fondů</w:t>
      </w:r>
    </w:p>
    <w:p w14:paraId="01C62CA3" w14:textId="77777777" w:rsidR="005C2DD5" w:rsidRPr="00194C3F" w:rsidRDefault="00FC0F22" w:rsidP="00A4125F">
      <w:pPr>
        <w:pStyle w:val="Zkladntext"/>
        <w:tabs>
          <w:tab w:val="left" w:pos="360"/>
        </w:tabs>
        <w:spacing w:line="240" w:lineRule="auto"/>
        <w:jc w:val="both"/>
      </w:pPr>
      <w:r>
        <w:t xml:space="preserve">   </w:t>
      </w:r>
      <w:r w:rsidR="005C2DD5" w:rsidRPr="00194C3F">
        <w:t xml:space="preserve"> Obec nemá zřízeny žádné účelové fondy.</w:t>
      </w:r>
    </w:p>
    <w:p w14:paraId="2AAB2682" w14:textId="77777777" w:rsidR="005C2DD5" w:rsidRPr="00194C3F" w:rsidRDefault="005C2DD5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</w:p>
    <w:p w14:paraId="02F1130A" w14:textId="77777777" w:rsidR="00194C3F" w:rsidRPr="00194C3F" w:rsidRDefault="00194C3F" w:rsidP="00A4125F">
      <w:pPr>
        <w:pStyle w:val="Zkladntext"/>
        <w:tabs>
          <w:tab w:val="left" w:pos="360"/>
        </w:tabs>
        <w:spacing w:line="240" w:lineRule="auto"/>
        <w:jc w:val="both"/>
      </w:pPr>
      <w:r w:rsidRPr="00194C3F">
        <w:rPr>
          <w:b/>
          <w:bCs/>
        </w:rPr>
        <w:t>4) Hospodaření příspěvkových organizací zřízených obcí:</w:t>
      </w:r>
    </w:p>
    <w:p w14:paraId="75740786" w14:textId="752981F3" w:rsidR="00194C3F" w:rsidRPr="00194C3F" w:rsidRDefault="00F80D3B" w:rsidP="00A4125F">
      <w:pPr>
        <w:pStyle w:val="Zkladntext"/>
        <w:tabs>
          <w:tab w:val="left" w:pos="360"/>
        </w:tabs>
        <w:spacing w:line="240" w:lineRule="auto"/>
        <w:jc w:val="both"/>
      </w:pPr>
      <w:r>
        <w:t xml:space="preserve">Základní škola a Mateřská škola </w:t>
      </w:r>
      <w:proofErr w:type="gramStart"/>
      <w:r>
        <w:t>Nedomice</w:t>
      </w:r>
      <w:r w:rsidR="00267860">
        <w:t xml:space="preserve"> - h</w:t>
      </w:r>
      <w:r w:rsidR="00267860" w:rsidRPr="00267860">
        <w:t>ospodaření</w:t>
      </w:r>
      <w:proofErr w:type="gramEnd"/>
      <w:r w:rsidR="00267860" w:rsidRPr="00267860">
        <w:t xml:space="preserve"> školy bylo v</w:t>
      </w:r>
      <w:r w:rsidR="00E70B4C">
        <w:t>e výnosech</w:t>
      </w:r>
      <w:r w:rsidR="00267860" w:rsidRPr="00267860">
        <w:t xml:space="preserve"> </w:t>
      </w:r>
      <w:r w:rsidR="00B42C07">
        <w:t>8</w:t>
      </w:r>
      <w:r w:rsidR="00DA5999" w:rsidRPr="00733033">
        <w:t>.</w:t>
      </w:r>
      <w:r w:rsidR="00B42C07">
        <w:t>411</w:t>
      </w:r>
      <w:r w:rsidR="00DA5999" w:rsidRPr="00733033">
        <w:t>.</w:t>
      </w:r>
      <w:r w:rsidR="0033110E">
        <w:t>4</w:t>
      </w:r>
      <w:r w:rsidR="00437B74">
        <w:t>6</w:t>
      </w:r>
      <w:r w:rsidR="00B42C07">
        <w:t>2</w:t>
      </w:r>
      <w:r w:rsidR="00DA5999" w:rsidRPr="00733033">
        <w:t>,</w:t>
      </w:r>
      <w:r w:rsidR="00B42C07">
        <w:t>01</w:t>
      </w:r>
      <w:r w:rsidR="00DA5999">
        <w:t xml:space="preserve"> </w:t>
      </w:r>
      <w:r w:rsidR="00267860" w:rsidRPr="002F0AD6">
        <w:t>Kč</w:t>
      </w:r>
      <w:r w:rsidR="00267860" w:rsidRPr="00267860">
        <w:t xml:space="preserve">, v </w:t>
      </w:r>
      <w:r w:rsidR="00E70B4C">
        <w:t>nákladech</w:t>
      </w:r>
      <w:r w:rsidR="00267860" w:rsidRPr="00267860">
        <w:t xml:space="preserve"> </w:t>
      </w:r>
      <w:r w:rsidR="00B42C07">
        <w:t>8</w:t>
      </w:r>
      <w:r w:rsidR="00DA5999" w:rsidRPr="00733033">
        <w:t>.</w:t>
      </w:r>
      <w:r w:rsidR="00B42C07">
        <w:t>413</w:t>
      </w:r>
      <w:r w:rsidR="00DA5999" w:rsidRPr="00733033">
        <w:t>.</w:t>
      </w:r>
      <w:r w:rsidR="00437B74">
        <w:t>0</w:t>
      </w:r>
      <w:r w:rsidR="00B42C07">
        <w:t>37</w:t>
      </w:r>
      <w:r w:rsidR="00DA5999" w:rsidRPr="00733033">
        <w:t>,</w:t>
      </w:r>
      <w:r w:rsidR="00B42C07">
        <w:t>09</w:t>
      </w:r>
      <w:r w:rsidR="00267860" w:rsidRPr="002F0AD6">
        <w:t xml:space="preserve"> Kč</w:t>
      </w:r>
      <w:r w:rsidR="00267860" w:rsidRPr="00267860">
        <w:t xml:space="preserve">. </w:t>
      </w:r>
      <w:r w:rsidR="00267860" w:rsidRPr="00733033">
        <w:rPr>
          <w:b/>
          <w:bCs/>
        </w:rPr>
        <w:t xml:space="preserve">Hospodářský výsledek </w:t>
      </w:r>
      <w:r w:rsidR="00733033" w:rsidRPr="00733033">
        <w:rPr>
          <w:b/>
          <w:bCs/>
        </w:rPr>
        <w:t>skončil ztrátou</w:t>
      </w:r>
      <w:r w:rsidR="00194C3F" w:rsidRPr="00733033">
        <w:rPr>
          <w:b/>
          <w:bCs/>
        </w:rPr>
        <w:t xml:space="preserve"> </w:t>
      </w:r>
      <w:r w:rsidR="00733033" w:rsidRPr="00733033">
        <w:rPr>
          <w:b/>
          <w:bCs/>
        </w:rPr>
        <w:t>-</w:t>
      </w:r>
      <w:r w:rsidR="00AF5F52">
        <w:rPr>
          <w:b/>
          <w:bCs/>
        </w:rPr>
        <w:t xml:space="preserve"> 1.575</w:t>
      </w:r>
      <w:r w:rsidR="00733033" w:rsidRPr="00733033">
        <w:rPr>
          <w:b/>
          <w:bCs/>
        </w:rPr>
        <w:t>,</w:t>
      </w:r>
      <w:r w:rsidR="00AF5F52">
        <w:rPr>
          <w:b/>
          <w:bCs/>
        </w:rPr>
        <w:t>0</w:t>
      </w:r>
      <w:r w:rsidR="00437B74">
        <w:rPr>
          <w:b/>
          <w:bCs/>
        </w:rPr>
        <w:t>8</w:t>
      </w:r>
      <w:r w:rsidR="00194C3F" w:rsidRPr="00733033">
        <w:rPr>
          <w:b/>
          <w:bCs/>
        </w:rPr>
        <w:t xml:space="preserve"> Kč</w:t>
      </w:r>
      <w:r w:rsidR="00267860" w:rsidRPr="00733033">
        <w:rPr>
          <w:b/>
          <w:bCs/>
        </w:rPr>
        <w:t>.</w:t>
      </w:r>
    </w:p>
    <w:p w14:paraId="7F5195EA" w14:textId="0B926DCE" w:rsidR="001F296C" w:rsidRPr="00733033" w:rsidRDefault="001F296C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  <w:r w:rsidRPr="00733033">
        <w:rPr>
          <w:b/>
          <w:bCs/>
        </w:rPr>
        <w:t xml:space="preserve">Příspěvek na provoz z rozpočtu obce činil </w:t>
      </w:r>
      <w:r w:rsidR="00F027FA">
        <w:rPr>
          <w:b/>
          <w:bCs/>
        </w:rPr>
        <w:t>646</w:t>
      </w:r>
      <w:r w:rsidRPr="00733033">
        <w:rPr>
          <w:b/>
          <w:bCs/>
        </w:rPr>
        <w:t>.000,00 Kč.</w:t>
      </w:r>
    </w:p>
    <w:p w14:paraId="77F13B0C" w14:textId="77777777" w:rsidR="00BD4ED7" w:rsidRDefault="0093065D" w:rsidP="00A4125F">
      <w:pPr>
        <w:pStyle w:val="Zkladntext"/>
        <w:tabs>
          <w:tab w:val="left" w:pos="360"/>
        </w:tabs>
        <w:spacing w:line="240" w:lineRule="auto"/>
        <w:jc w:val="both"/>
      </w:pPr>
      <w:r>
        <w:t>Ú</w:t>
      </w:r>
      <w:r w:rsidR="00194C3F" w:rsidRPr="00194C3F">
        <w:t>četní</w:t>
      </w:r>
      <w:r>
        <w:t xml:space="preserve"> výkazy Rozvaha, Výkaz zisku a ztrát, Příloha</w:t>
      </w:r>
      <w:r w:rsidR="00194C3F" w:rsidRPr="00194C3F">
        <w:t xml:space="preserve"> zřizované </w:t>
      </w:r>
      <w:proofErr w:type="spellStart"/>
      <w:r w:rsidR="00194C3F" w:rsidRPr="00194C3F">
        <w:t>p</w:t>
      </w:r>
      <w:r w:rsidR="001F296C">
        <w:t>.</w:t>
      </w:r>
      <w:r w:rsidR="00194C3F" w:rsidRPr="00194C3F">
        <w:t>o</w:t>
      </w:r>
      <w:proofErr w:type="spellEnd"/>
      <w:r w:rsidR="001F296C">
        <w:t>.</w:t>
      </w:r>
      <w:r w:rsidR="00194C3F" w:rsidRPr="00194C3F">
        <w:t xml:space="preserve"> </w:t>
      </w:r>
      <w:r w:rsidR="00194C3F">
        <w:t>j</w:t>
      </w:r>
      <w:r>
        <w:t xml:space="preserve">sou k </w:t>
      </w:r>
      <w:r w:rsidR="001F296C">
        <w:t>dispozici</w:t>
      </w:r>
      <w:r w:rsidR="00194C3F" w:rsidRPr="00194C3F">
        <w:t xml:space="preserve"> na obecním úřadě.</w:t>
      </w:r>
    </w:p>
    <w:p w14:paraId="7C73441A" w14:textId="77777777" w:rsidR="00194C3F" w:rsidRPr="00194C3F" w:rsidRDefault="0093065D" w:rsidP="00A4125F">
      <w:pPr>
        <w:pStyle w:val="Zkladntext"/>
        <w:tabs>
          <w:tab w:val="left" w:pos="360"/>
        </w:tabs>
        <w:spacing w:line="240" w:lineRule="auto"/>
        <w:jc w:val="both"/>
      </w:pPr>
      <w:r>
        <w:t xml:space="preserve">Příloha č. </w:t>
      </w:r>
      <w:r w:rsidR="00ED11FE">
        <w:t>7</w:t>
      </w:r>
      <w:r w:rsidR="00A52347">
        <w:t xml:space="preserve"> (k nahlédnutí na obecním úřadě nebo v elektronické podobě na úřední desce)</w:t>
      </w:r>
      <w:r>
        <w:t>.</w:t>
      </w:r>
    </w:p>
    <w:p w14:paraId="6D088650" w14:textId="77777777" w:rsidR="00D27367" w:rsidRDefault="00D27367" w:rsidP="005C2DD5">
      <w:pPr>
        <w:pStyle w:val="Zkladntext"/>
        <w:tabs>
          <w:tab w:val="left" w:pos="360"/>
        </w:tabs>
        <w:jc w:val="both"/>
        <w:rPr>
          <w:b/>
          <w:bCs/>
        </w:rPr>
      </w:pPr>
    </w:p>
    <w:p w14:paraId="7B15A86A" w14:textId="227C656E" w:rsidR="005C2DD5" w:rsidRPr="00FC0F22" w:rsidRDefault="00A85C52" w:rsidP="005C2DD5">
      <w:pPr>
        <w:pStyle w:val="Zkladntext"/>
        <w:tabs>
          <w:tab w:val="left" w:pos="360"/>
        </w:tabs>
        <w:jc w:val="both"/>
      </w:pPr>
      <w:r w:rsidRPr="00FC0F22">
        <w:rPr>
          <w:b/>
          <w:bCs/>
        </w:rPr>
        <w:lastRenderedPageBreak/>
        <w:t>5</w:t>
      </w:r>
      <w:r w:rsidR="00FD0221" w:rsidRPr="00FC0F22">
        <w:rPr>
          <w:b/>
          <w:bCs/>
        </w:rPr>
        <w:t xml:space="preserve">) </w:t>
      </w:r>
      <w:r w:rsidR="005C2DD5" w:rsidRPr="00FC0F22">
        <w:rPr>
          <w:b/>
          <w:bCs/>
        </w:rPr>
        <w:t>Stav majetku, pohledáv</w:t>
      </w:r>
      <w:r w:rsidR="00D44493" w:rsidRPr="00FC0F22">
        <w:rPr>
          <w:b/>
          <w:bCs/>
        </w:rPr>
        <w:t>ek a závazků obce k 31. 12. 20</w:t>
      </w:r>
      <w:r w:rsidR="00B35B6C">
        <w:rPr>
          <w:b/>
          <w:bCs/>
        </w:rPr>
        <w:t>2</w:t>
      </w:r>
      <w:r w:rsidR="0007391C">
        <w:rPr>
          <w:b/>
          <w:bCs/>
        </w:rPr>
        <w:t>1</w:t>
      </w:r>
      <w:r w:rsidR="00877D91" w:rsidRPr="00FC0F22">
        <w:rPr>
          <w:b/>
          <w:bCs/>
        </w:rPr>
        <w:t xml:space="preserve"> </w:t>
      </w:r>
      <w:r w:rsidR="005C2DD5" w:rsidRPr="00FC0F22">
        <w:t>(údaje jsou v Kč)</w:t>
      </w:r>
    </w:p>
    <w:p w14:paraId="08EAE65E" w14:textId="4A7B1419" w:rsidR="00877D91" w:rsidRDefault="00877D91" w:rsidP="005C2DD5">
      <w:pPr>
        <w:pStyle w:val="Zkladntext"/>
        <w:tabs>
          <w:tab w:val="left" w:pos="360"/>
        </w:tabs>
        <w:jc w:val="both"/>
      </w:pPr>
      <w:r w:rsidRPr="00FC0F22">
        <w:t xml:space="preserve">    V inventuře nebyl z</w:t>
      </w:r>
      <w:r w:rsidR="00D0440D">
        <w:t xml:space="preserve">ohledněn </w:t>
      </w:r>
      <w:r w:rsidRPr="00FC0F22">
        <w:t>inventarizační rozdíl</w:t>
      </w:r>
      <w:r w:rsidR="00D0440D">
        <w:t xml:space="preserve"> na účtu 031</w:t>
      </w:r>
      <w:r w:rsidRPr="00FC0F22">
        <w:t xml:space="preserve"> </w:t>
      </w:r>
      <w:r w:rsidR="00D0440D">
        <w:t>viz Závěr zprávy z KÚ, příloha č.6</w:t>
      </w:r>
      <w:r w:rsidRPr="00FC0F22">
        <w:t>.</w:t>
      </w:r>
    </w:p>
    <w:p w14:paraId="4500CD56" w14:textId="77777777" w:rsidR="00960085" w:rsidRDefault="00960085" w:rsidP="005C2DD5">
      <w:pPr>
        <w:pStyle w:val="Zkladntext"/>
        <w:tabs>
          <w:tab w:val="left" w:pos="360"/>
        </w:tabs>
        <w:jc w:val="both"/>
      </w:pPr>
    </w:p>
    <w:tbl>
      <w:tblPr>
        <w:tblW w:w="943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2933"/>
        <w:gridCol w:w="1985"/>
      </w:tblGrid>
      <w:tr w:rsidR="005C2DD5" w:rsidRPr="003B1647" w14:paraId="0061762B" w14:textId="77777777" w:rsidTr="00D76251">
        <w:trPr>
          <w:trHeight w:val="1035"/>
        </w:trPr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815FB" w14:textId="77777777" w:rsidR="005C2DD5" w:rsidRPr="003B1647" w:rsidRDefault="005C2DD5" w:rsidP="005C2D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16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3F49" w14:textId="77777777" w:rsidR="005C2DD5" w:rsidRPr="003B1647" w:rsidRDefault="005C2DD5" w:rsidP="005C2D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16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zásadní údaje o hospodaření s majetkem a o dalších finančních operací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8AC29" w14:textId="133808F6" w:rsidR="005C2DD5" w:rsidRPr="003B1647" w:rsidRDefault="005C2DD5" w:rsidP="00D444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16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 k 31. 12. 20</w:t>
            </w:r>
            <w:r w:rsidR="00B35B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07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FE1638" w:rsidRPr="003B1647" w14:paraId="6B9FBBD7" w14:textId="77777777" w:rsidTr="00D76251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F7DC" w14:textId="77777777" w:rsidR="00FE1638" w:rsidRPr="001812EB" w:rsidRDefault="00FE1638" w:rsidP="005C2DD5">
            <w:pPr>
              <w:rPr>
                <w:rFonts w:eastAsia="Times New Roman"/>
                <w:b/>
                <w:bCs/>
                <w:color w:val="000080"/>
                <w:lang w:eastAsia="cs-CZ"/>
              </w:rPr>
            </w:pPr>
            <w:r>
              <w:rPr>
                <w:rFonts w:eastAsia="Times New Roman"/>
                <w:b/>
                <w:bCs/>
                <w:color w:val="000080"/>
                <w:lang w:eastAsia="cs-CZ"/>
              </w:rPr>
              <w:t>Aktiva celkem (stálá + oběžná)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77B28" w14:textId="77777777" w:rsidR="00FE1638" w:rsidRPr="001812EB" w:rsidRDefault="00FE1638" w:rsidP="005C2DD5">
            <w:pPr>
              <w:rPr>
                <w:rFonts w:eastAsia="Times New Roman"/>
                <w:b/>
                <w:bCs/>
                <w:color w:val="00008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734A" w14:textId="0857E7B2" w:rsidR="00FE1638" w:rsidRPr="001812EB" w:rsidRDefault="00C55093" w:rsidP="009A1188">
            <w:pPr>
              <w:jc w:val="right"/>
              <w:rPr>
                <w:rFonts w:eastAsia="Times New Roman"/>
                <w:b/>
                <w:bCs/>
                <w:color w:val="000080"/>
                <w:lang w:eastAsia="cs-CZ"/>
              </w:rPr>
            </w:pPr>
            <w:r>
              <w:rPr>
                <w:rFonts w:eastAsia="Times New Roman"/>
                <w:b/>
                <w:bCs/>
                <w:color w:val="000080"/>
                <w:lang w:eastAsia="cs-CZ"/>
              </w:rPr>
              <w:t>37</w:t>
            </w:r>
            <w:r w:rsidR="004D46AF">
              <w:rPr>
                <w:rFonts w:eastAsia="Times New Roman"/>
                <w:b/>
                <w:bCs/>
                <w:color w:val="000080"/>
                <w:lang w:eastAsia="cs-CZ"/>
              </w:rPr>
              <w:t>.</w:t>
            </w:r>
            <w:r>
              <w:rPr>
                <w:rFonts w:eastAsia="Times New Roman"/>
                <w:b/>
                <w:bCs/>
                <w:color w:val="000080"/>
                <w:lang w:eastAsia="cs-CZ"/>
              </w:rPr>
              <w:t>0</w:t>
            </w:r>
            <w:r w:rsidR="00881AF4">
              <w:rPr>
                <w:rFonts w:eastAsia="Times New Roman"/>
                <w:b/>
                <w:bCs/>
                <w:color w:val="000080"/>
                <w:lang w:eastAsia="cs-CZ"/>
              </w:rPr>
              <w:t>34</w:t>
            </w:r>
            <w:r w:rsidR="00146F26">
              <w:rPr>
                <w:rFonts w:eastAsia="Times New Roman"/>
                <w:b/>
                <w:bCs/>
                <w:color w:val="000080"/>
                <w:lang w:eastAsia="cs-CZ"/>
              </w:rPr>
              <w:t>.</w:t>
            </w:r>
            <w:r>
              <w:rPr>
                <w:rFonts w:eastAsia="Times New Roman"/>
                <w:b/>
                <w:bCs/>
                <w:color w:val="000080"/>
                <w:lang w:eastAsia="cs-CZ"/>
              </w:rPr>
              <w:t>869</w:t>
            </w:r>
            <w:r w:rsidR="00146F26">
              <w:rPr>
                <w:rFonts w:eastAsia="Times New Roman"/>
                <w:b/>
                <w:bCs/>
                <w:color w:val="000080"/>
                <w:lang w:eastAsia="cs-CZ"/>
              </w:rPr>
              <w:t>,</w:t>
            </w:r>
            <w:r>
              <w:rPr>
                <w:rFonts w:eastAsia="Times New Roman"/>
                <w:b/>
                <w:bCs/>
                <w:color w:val="000080"/>
                <w:lang w:eastAsia="cs-CZ"/>
              </w:rPr>
              <w:t>7</w:t>
            </w:r>
            <w:r w:rsidR="00881AF4">
              <w:rPr>
                <w:rFonts w:eastAsia="Times New Roman"/>
                <w:b/>
                <w:bCs/>
                <w:color w:val="000080"/>
                <w:lang w:eastAsia="cs-CZ"/>
              </w:rPr>
              <w:t>7</w:t>
            </w:r>
          </w:p>
        </w:tc>
      </w:tr>
      <w:tr w:rsidR="005C2DD5" w:rsidRPr="003B1647" w14:paraId="47196AEB" w14:textId="77777777" w:rsidTr="00D76251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1EC4" w14:textId="77777777" w:rsidR="005C2DD5" w:rsidRPr="001B6339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1B6339">
              <w:rPr>
                <w:rFonts w:eastAsia="Times New Roman"/>
                <w:b/>
                <w:bCs/>
                <w:lang w:eastAsia="cs-CZ"/>
              </w:rPr>
              <w:t xml:space="preserve">Stálá aktiva </w:t>
            </w:r>
            <w:r w:rsidR="00DD5D3D">
              <w:rPr>
                <w:rFonts w:eastAsia="Times New Roman"/>
                <w:b/>
                <w:bCs/>
                <w:lang w:eastAsia="cs-CZ"/>
              </w:rPr>
              <w:t>(DNM, DHM, DFM)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2231" w14:textId="77777777" w:rsidR="005C2DD5" w:rsidRPr="001B6339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1B6339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7753D" w14:textId="4C3F80E0" w:rsidR="005C2DD5" w:rsidRPr="001B6339" w:rsidRDefault="009E4B37" w:rsidP="009A1188">
            <w:pPr>
              <w:jc w:val="right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3</w:t>
            </w:r>
            <w:r w:rsidR="00C55093">
              <w:rPr>
                <w:rFonts w:eastAsia="Times New Roman"/>
                <w:b/>
                <w:bCs/>
                <w:lang w:eastAsia="cs-CZ"/>
              </w:rPr>
              <w:t>0</w:t>
            </w:r>
            <w:r w:rsidR="00146F26">
              <w:rPr>
                <w:rFonts w:eastAsia="Times New Roman"/>
                <w:b/>
                <w:bCs/>
                <w:lang w:eastAsia="cs-CZ"/>
              </w:rPr>
              <w:t>.</w:t>
            </w:r>
            <w:r w:rsidR="00C55093">
              <w:rPr>
                <w:rFonts w:eastAsia="Times New Roman"/>
                <w:b/>
                <w:bCs/>
                <w:lang w:eastAsia="cs-CZ"/>
              </w:rPr>
              <w:t>065</w:t>
            </w:r>
            <w:r w:rsidR="00146F26">
              <w:rPr>
                <w:rFonts w:eastAsia="Times New Roman"/>
                <w:b/>
                <w:bCs/>
                <w:lang w:eastAsia="cs-CZ"/>
              </w:rPr>
              <w:t>.</w:t>
            </w:r>
            <w:r w:rsidR="00C55093">
              <w:rPr>
                <w:rFonts w:eastAsia="Times New Roman"/>
                <w:b/>
                <w:bCs/>
                <w:lang w:eastAsia="cs-CZ"/>
              </w:rPr>
              <w:t>779</w:t>
            </w:r>
            <w:r w:rsidR="005C2DD5" w:rsidRPr="001B6339">
              <w:rPr>
                <w:rFonts w:eastAsia="Times New Roman"/>
                <w:b/>
                <w:bCs/>
                <w:lang w:eastAsia="cs-CZ"/>
              </w:rPr>
              <w:t>,</w:t>
            </w:r>
            <w:r w:rsidR="00C55093">
              <w:rPr>
                <w:rFonts w:eastAsia="Times New Roman"/>
                <w:b/>
                <w:bCs/>
                <w:lang w:eastAsia="cs-CZ"/>
              </w:rPr>
              <w:t>51</w:t>
            </w:r>
          </w:p>
        </w:tc>
      </w:tr>
      <w:tr w:rsidR="00FB1A1B" w:rsidRPr="003B1647" w14:paraId="5DDC86CE" w14:textId="77777777" w:rsidTr="00D76251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79755" w14:textId="77777777" w:rsidR="00FB1A1B" w:rsidRPr="001B6339" w:rsidRDefault="00FB1A1B" w:rsidP="005C2DD5">
            <w:pPr>
              <w:rPr>
                <w:rFonts w:eastAsia="Times New Roman"/>
                <w:bCs/>
                <w:lang w:eastAsia="cs-CZ"/>
              </w:rPr>
            </w:pPr>
            <w:r w:rsidRPr="001B6339">
              <w:rPr>
                <w:rFonts w:eastAsia="Times New Roman"/>
                <w:bCs/>
                <w:lang w:eastAsia="cs-CZ"/>
              </w:rPr>
              <w:t>Dlouhodobý hmotný majetek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692D" w14:textId="77777777" w:rsidR="00FB1A1B" w:rsidRPr="001B6339" w:rsidRDefault="00FB1A1B" w:rsidP="005C2DD5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0C042" w14:textId="4178F8CD" w:rsidR="00FB1A1B" w:rsidRPr="001B6339" w:rsidRDefault="00BF1D4D" w:rsidP="009A1188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28</w:t>
            </w:r>
            <w:r w:rsidR="00146F26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295</w:t>
            </w:r>
            <w:r w:rsidR="00146F26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999</w:t>
            </w:r>
            <w:r w:rsidR="00FB1A1B" w:rsidRPr="001B6339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29</w:t>
            </w:r>
          </w:p>
        </w:tc>
      </w:tr>
      <w:tr w:rsidR="005C2DD5" w:rsidRPr="003B1647" w14:paraId="0B74CA6B" w14:textId="77777777" w:rsidTr="00D76251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7D13" w14:textId="77976729" w:rsidR="005C2DD5" w:rsidRPr="00A90B7A" w:rsidRDefault="005C2DD5" w:rsidP="00AA6A32">
            <w:pPr>
              <w:rPr>
                <w:rFonts w:eastAsia="Times New Roman"/>
                <w:i/>
                <w:iCs/>
                <w:lang w:eastAsia="cs-CZ"/>
              </w:rPr>
            </w:pPr>
            <w:proofErr w:type="gramStart"/>
            <w:r w:rsidRPr="00A90B7A">
              <w:rPr>
                <w:rFonts w:eastAsia="Times New Roman"/>
                <w:i/>
                <w:iCs/>
                <w:lang w:eastAsia="cs-CZ"/>
              </w:rPr>
              <w:t>021</w:t>
            </w:r>
            <w:r w:rsidR="006C7D0B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Pr="00A90B7A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="004816E7" w:rsidRPr="00A90B7A">
              <w:rPr>
                <w:rFonts w:eastAsia="Times New Roman"/>
                <w:i/>
                <w:iCs/>
                <w:lang w:eastAsia="cs-CZ"/>
              </w:rPr>
              <w:t>–</w:t>
            </w:r>
            <w:proofErr w:type="gramEnd"/>
            <w:r w:rsidRPr="00A90B7A">
              <w:rPr>
                <w:rFonts w:eastAsia="Times New Roman"/>
                <w:i/>
                <w:iCs/>
                <w:lang w:eastAsia="cs-CZ"/>
              </w:rPr>
              <w:t xml:space="preserve"> Stavby</w:t>
            </w:r>
          </w:p>
          <w:p w14:paraId="75C745D9" w14:textId="065D8DEE" w:rsidR="004816E7" w:rsidRPr="00A90B7A" w:rsidRDefault="004816E7" w:rsidP="00AA6A32">
            <w:pPr>
              <w:rPr>
                <w:rFonts w:eastAsia="Times New Roman"/>
                <w:i/>
                <w:iCs/>
                <w:lang w:eastAsia="cs-CZ"/>
              </w:rPr>
            </w:pPr>
            <w:proofErr w:type="gramStart"/>
            <w:r w:rsidRPr="00A90B7A">
              <w:rPr>
                <w:rFonts w:eastAsia="Times New Roman"/>
                <w:i/>
                <w:iCs/>
                <w:lang w:eastAsia="cs-CZ"/>
              </w:rPr>
              <w:t>022</w:t>
            </w:r>
            <w:r w:rsidR="006C7D0B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Pr="00A90B7A">
              <w:rPr>
                <w:rFonts w:eastAsia="Times New Roman"/>
                <w:i/>
                <w:iCs/>
                <w:lang w:eastAsia="cs-CZ"/>
              </w:rPr>
              <w:t xml:space="preserve"> –</w:t>
            </w:r>
            <w:proofErr w:type="gramEnd"/>
            <w:r w:rsidRPr="00A90B7A">
              <w:rPr>
                <w:rFonts w:eastAsia="Times New Roman"/>
                <w:i/>
                <w:iCs/>
                <w:lang w:eastAsia="cs-CZ"/>
              </w:rPr>
              <w:t xml:space="preserve"> Samostatné movité věci</w:t>
            </w:r>
          </w:p>
          <w:p w14:paraId="78CF9116" w14:textId="4E1A84A7" w:rsidR="004816E7" w:rsidRDefault="004816E7" w:rsidP="00AA6A32">
            <w:pPr>
              <w:rPr>
                <w:rFonts w:eastAsia="Times New Roman"/>
                <w:i/>
                <w:iCs/>
                <w:lang w:eastAsia="cs-CZ"/>
              </w:rPr>
            </w:pPr>
            <w:proofErr w:type="gramStart"/>
            <w:r w:rsidRPr="00A90B7A">
              <w:rPr>
                <w:rFonts w:eastAsia="Times New Roman"/>
                <w:i/>
                <w:iCs/>
                <w:lang w:eastAsia="cs-CZ"/>
              </w:rPr>
              <w:t>028</w:t>
            </w:r>
            <w:r w:rsidR="006C7D0B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Pr="00A90B7A">
              <w:rPr>
                <w:rFonts w:eastAsia="Times New Roman"/>
                <w:i/>
                <w:iCs/>
                <w:lang w:eastAsia="cs-CZ"/>
              </w:rPr>
              <w:t xml:space="preserve"> –</w:t>
            </w:r>
            <w:proofErr w:type="gramEnd"/>
            <w:r w:rsidRPr="00A90B7A">
              <w:rPr>
                <w:rFonts w:eastAsia="Times New Roman"/>
                <w:i/>
                <w:iCs/>
                <w:lang w:eastAsia="cs-CZ"/>
              </w:rPr>
              <w:t xml:space="preserve"> Drobný dlouhodobý hmotný majetek</w:t>
            </w:r>
          </w:p>
          <w:p w14:paraId="7CF2C73B" w14:textId="6A5FE66A" w:rsidR="004816E7" w:rsidRDefault="00A90B7A" w:rsidP="00AA6A32">
            <w:pPr>
              <w:rPr>
                <w:rFonts w:eastAsia="Times New Roman"/>
                <w:i/>
                <w:iCs/>
                <w:lang w:eastAsia="cs-CZ"/>
              </w:rPr>
            </w:pPr>
            <w:proofErr w:type="gramStart"/>
            <w:r>
              <w:rPr>
                <w:rFonts w:eastAsia="Times New Roman"/>
                <w:i/>
                <w:iCs/>
                <w:lang w:eastAsia="cs-CZ"/>
              </w:rPr>
              <w:t>031</w:t>
            </w:r>
            <w:r w:rsidR="006C7D0B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="00DA5999">
              <w:rPr>
                <w:rFonts w:eastAsia="Times New Roman"/>
                <w:i/>
                <w:iCs/>
                <w:lang w:eastAsia="cs-CZ"/>
              </w:rPr>
              <w:t>–</w:t>
            </w:r>
            <w:proofErr w:type="gramEnd"/>
            <w:r>
              <w:rPr>
                <w:rFonts w:eastAsia="Times New Roman"/>
                <w:i/>
                <w:iCs/>
                <w:lang w:eastAsia="cs-CZ"/>
              </w:rPr>
              <w:t xml:space="preserve"> Pozemky</w:t>
            </w:r>
          </w:p>
          <w:p w14:paraId="4DFDF18D" w14:textId="7C1751FC" w:rsidR="00881AF4" w:rsidRPr="00A90B7A" w:rsidRDefault="00881AF4" w:rsidP="00AA6A32">
            <w:pPr>
              <w:rPr>
                <w:rFonts w:eastAsia="Times New Roman"/>
                <w:i/>
                <w:iCs/>
                <w:lang w:eastAsia="cs-CZ"/>
              </w:rPr>
            </w:pPr>
            <w:proofErr w:type="gramStart"/>
            <w:r>
              <w:rPr>
                <w:rFonts w:eastAsia="Times New Roman"/>
                <w:i/>
                <w:iCs/>
                <w:lang w:eastAsia="cs-CZ"/>
              </w:rPr>
              <w:t>042</w:t>
            </w:r>
            <w:r w:rsidR="006C7D0B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>
              <w:rPr>
                <w:rFonts w:eastAsia="Times New Roman"/>
                <w:i/>
                <w:iCs/>
                <w:lang w:eastAsia="cs-CZ"/>
              </w:rPr>
              <w:t xml:space="preserve"> –</w:t>
            </w:r>
            <w:proofErr w:type="gramEnd"/>
            <w:r>
              <w:rPr>
                <w:rFonts w:eastAsia="Times New Roman"/>
                <w:i/>
                <w:iCs/>
                <w:lang w:eastAsia="cs-CZ"/>
              </w:rPr>
              <w:t xml:space="preserve"> Nedokončený majetek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921B" w14:textId="09F6F130" w:rsidR="005C2DD5" w:rsidRDefault="00E27598" w:rsidP="00877D91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Vodovod a VO, TK DSO</w:t>
            </w:r>
          </w:p>
          <w:p w14:paraId="300E80AF" w14:textId="1E9C7829" w:rsidR="00E20C4E" w:rsidRDefault="00E27598" w:rsidP="00877D91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 xml:space="preserve">Traktor </w:t>
            </w:r>
            <w:proofErr w:type="spellStart"/>
            <w:r>
              <w:rPr>
                <w:rFonts w:eastAsia="Times New Roman"/>
                <w:i/>
                <w:lang w:eastAsia="cs-CZ"/>
              </w:rPr>
              <w:t>Goliath</w:t>
            </w:r>
            <w:proofErr w:type="spellEnd"/>
          </w:p>
          <w:p w14:paraId="3550B7B0" w14:textId="4CC49D6D" w:rsidR="00E20C4E" w:rsidRDefault="00E27598" w:rsidP="00877D91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Traktůrek, zařízení obchodu</w:t>
            </w:r>
          </w:p>
          <w:p w14:paraId="0979CE29" w14:textId="37A12DDF" w:rsidR="00877D91" w:rsidRDefault="00FA4579" w:rsidP="00877D91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 xml:space="preserve">Na Pískách, </w:t>
            </w:r>
            <w:r w:rsidR="00E20C4E">
              <w:rPr>
                <w:rFonts w:eastAsia="Times New Roman"/>
                <w:i/>
                <w:lang w:eastAsia="cs-CZ"/>
              </w:rPr>
              <w:t>K</w:t>
            </w:r>
            <w:r>
              <w:rPr>
                <w:rFonts w:eastAsia="Times New Roman"/>
                <w:i/>
                <w:lang w:eastAsia="cs-CZ"/>
              </w:rPr>
              <w:t>OPU</w:t>
            </w:r>
          </w:p>
          <w:p w14:paraId="20E69ECA" w14:textId="73773CE9" w:rsidR="00877D91" w:rsidRPr="00A70A01" w:rsidRDefault="00FA4579" w:rsidP="00877D91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Stavby Kozí, chodník, světla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65F15" w14:textId="67280390" w:rsidR="004816E7" w:rsidRPr="00A70A01" w:rsidRDefault="00FA4579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19</w:t>
            </w:r>
            <w:r w:rsidR="00146F26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653</w:t>
            </w:r>
            <w:r w:rsidR="00146F26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2</w:t>
            </w:r>
            <w:r w:rsidR="00881AF4">
              <w:rPr>
                <w:rFonts w:eastAsia="Times New Roman"/>
                <w:i/>
                <w:lang w:eastAsia="cs-CZ"/>
              </w:rPr>
              <w:t>41</w:t>
            </w:r>
            <w:r w:rsidR="00146F26">
              <w:rPr>
                <w:rFonts w:eastAsia="Times New Roman"/>
                <w:i/>
                <w:lang w:eastAsia="cs-CZ"/>
              </w:rPr>
              <w:t>,</w:t>
            </w:r>
            <w:r>
              <w:rPr>
                <w:rFonts w:eastAsia="Times New Roman"/>
                <w:i/>
                <w:lang w:eastAsia="cs-CZ"/>
              </w:rPr>
              <w:t>71</w:t>
            </w:r>
          </w:p>
          <w:p w14:paraId="545A8F34" w14:textId="67507DCA" w:rsidR="00A90B7A" w:rsidRPr="00A70A01" w:rsidRDefault="00FA4579" w:rsidP="00A90B7A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621</w:t>
            </w:r>
            <w:r w:rsidR="00146F26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1</w:t>
            </w:r>
            <w:r w:rsidR="00881AF4">
              <w:rPr>
                <w:rFonts w:eastAsia="Times New Roman"/>
                <w:i/>
                <w:lang w:eastAsia="cs-CZ"/>
              </w:rPr>
              <w:t>86</w:t>
            </w:r>
            <w:r w:rsidR="00146F26">
              <w:rPr>
                <w:rFonts w:eastAsia="Times New Roman"/>
                <w:i/>
                <w:lang w:eastAsia="cs-CZ"/>
              </w:rPr>
              <w:t>,</w:t>
            </w:r>
            <w:r w:rsidR="00881AF4">
              <w:rPr>
                <w:rFonts w:eastAsia="Times New Roman"/>
                <w:i/>
                <w:lang w:eastAsia="cs-CZ"/>
              </w:rPr>
              <w:t>56</w:t>
            </w:r>
          </w:p>
          <w:p w14:paraId="3134B148" w14:textId="641FF6FE" w:rsidR="004816E7" w:rsidRPr="00A70A01" w:rsidRDefault="00FA4579" w:rsidP="00A90B7A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97</w:t>
            </w:r>
            <w:r w:rsidR="00881AF4">
              <w:rPr>
                <w:rFonts w:eastAsia="Times New Roman"/>
                <w:i/>
                <w:lang w:eastAsia="cs-CZ"/>
              </w:rPr>
              <w:t>4</w:t>
            </w:r>
            <w:r w:rsidR="00146F26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913</w:t>
            </w:r>
            <w:r w:rsidR="00146F26">
              <w:rPr>
                <w:rFonts w:eastAsia="Times New Roman"/>
                <w:i/>
                <w:lang w:eastAsia="cs-CZ"/>
              </w:rPr>
              <w:t>,</w:t>
            </w:r>
            <w:r>
              <w:rPr>
                <w:rFonts w:eastAsia="Times New Roman"/>
                <w:i/>
                <w:lang w:eastAsia="cs-CZ"/>
              </w:rPr>
              <w:t>67</w:t>
            </w:r>
          </w:p>
          <w:p w14:paraId="2EFC3B87" w14:textId="1502EF3B" w:rsidR="00A90B7A" w:rsidRDefault="00FA4579" w:rsidP="00A94C2C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3</w:t>
            </w:r>
            <w:r w:rsidR="00146F26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226</w:t>
            </w:r>
            <w:r w:rsidR="00146F26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605</w:t>
            </w:r>
            <w:r w:rsidR="00146F26">
              <w:rPr>
                <w:rFonts w:eastAsia="Times New Roman"/>
                <w:i/>
                <w:lang w:eastAsia="cs-CZ"/>
              </w:rPr>
              <w:t>,</w:t>
            </w:r>
            <w:r>
              <w:rPr>
                <w:rFonts w:eastAsia="Times New Roman"/>
                <w:i/>
                <w:lang w:eastAsia="cs-CZ"/>
              </w:rPr>
              <w:t>47</w:t>
            </w:r>
          </w:p>
          <w:p w14:paraId="4D81E681" w14:textId="6ABF3126" w:rsidR="00881AF4" w:rsidRPr="00A70A01" w:rsidRDefault="00CF4099" w:rsidP="00A94C2C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3.820</w:t>
            </w:r>
            <w:r w:rsidR="00881AF4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051</w:t>
            </w:r>
            <w:r w:rsidR="00881AF4">
              <w:rPr>
                <w:rFonts w:eastAsia="Times New Roman"/>
                <w:i/>
                <w:lang w:eastAsia="cs-CZ"/>
              </w:rPr>
              <w:t>,</w:t>
            </w:r>
            <w:r>
              <w:rPr>
                <w:rFonts w:eastAsia="Times New Roman"/>
                <w:i/>
                <w:lang w:eastAsia="cs-CZ"/>
              </w:rPr>
              <w:t>88</w:t>
            </w:r>
          </w:p>
        </w:tc>
      </w:tr>
      <w:tr w:rsidR="00FB1A1B" w:rsidRPr="00A90B7A" w14:paraId="0008BE2E" w14:textId="77777777" w:rsidTr="00D76251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1F66" w14:textId="77777777" w:rsidR="00FB1A1B" w:rsidRPr="001B6339" w:rsidRDefault="009A1188" w:rsidP="005C2DD5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069-</w:t>
            </w:r>
            <w:r w:rsidR="004816E7" w:rsidRPr="001B6339">
              <w:rPr>
                <w:rFonts w:eastAsia="Times New Roman"/>
                <w:bCs/>
                <w:lang w:eastAsia="cs-CZ"/>
              </w:rPr>
              <w:t>Dlouhodobý finanční majetek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F4C32" w14:textId="77777777" w:rsidR="00FB1A1B" w:rsidRPr="00877D91" w:rsidRDefault="00877D91" w:rsidP="005C2DD5">
            <w:pPr>
              <w:rPr>
                <w:rFonts w:eastAsia="Times New Roman"/>
                <w:i/>
                <w:lang w:eastAsia="cs-CZ"/>
              </w:rPr>
            </w:pPr>
            <w:r w:rsidRPr="00877D91">
              <w:rPr>
                <w:rFonts w:eastAsia="Times New Roman"/>
                <w:i/>
                <w:lang w:eastAsia="cs-CZ"/>
              </w:rPr>
              <w:t>Akcie VKM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AE03A" w14:textId="77777777" w:rsidR="00FB1A1B" w:rsidRPr="001B6339" w:rsidRDefault="00146F26" w:rsidP="005C2DD5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1.7</w:t>
            </w:r>
            <w:r w:rsidR="003B49E8">
              <w:rPr>
                <w:rFonts w:eastAsia="Times New Roman"/>
                <w:lang w:eastAsia="cs-CZ"/>
              </w:rPr>
              <w:t>6</w:t>
            </w:r>
            <w:r>
              <w:rPr>
                <w:rFonts w:eastAsia="Times New Roman"/>
                <w:lang w:eastAsia="cs-CZ"/>
              </w:rPr>
              <w:t>9.780</w:t>
            </w:r>
            <w:r w:rsidR="004816E7" w:rsidRPr="001B6339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22</w:t>
            </w:r>
          </w:p>
        </w:tc>
      </w:tr>
      <w:tr w:rsidR="005C2DD5" w:rsidRPr="003B1647" w14:paraId="74B4BF17" w14:textId="77777777" w:rsidTr="00D76251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4AB86" w14:textId="77777777" w:rsidR="005C2DD5" w:rsidRPr="001B6339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1B6339">
              <w:rPr>
                <w:rFonts w:eastAsia="Times New Roman"/>
                <w:b/>
                <w:bCs/>
                <w:lang w:eastAsia="cs-CZ"/>
              </w:rPr>
              <w:t>Oběžná aktiva</w:t>
            </w:r>
            <w:r w:rsidR="00DD5D3D">
              <w:rPr>
                <w:rFonts w:eastAsia="Times New Roman"/>
                <w:b/>
                <w:bCs/>
                <w:lang w:eastAsia="cs-CZ"/>
              </w:rPr>
              <w:t xml:space="preserve"> (zásoby,</w:t>
            </w:r>
            <w:r w:rsidR="00487C07">
              <w:rPr>
                <w:rFonts w:eastAsia="Times New Roman"/>
                <w:b/>
                <w:bCs/>
                <w:lang w:eastAsia="cs-CZ"/>
              </w:rPr>
              <w:t xml:space="preserve"> </w:t>
            </w:r>
            <w:r w:rsidR="00DD5D3D">
              <w:rPr>
                <w:rFonts w:eastAsia="Times New Roman"/>
                <w:b/>
                <w:bCs/>
                <w:lang w:eastAsia="cs-CZ"/>
              </w:rPr>
              <w:t>KP,</w:t>
            </w:r>
            <w:r w:rsidR="00487C07">
              <w:rPr>
                <w:rFonts w:eastAsia="Times New Roman"/>
                <w:b/>
                <w:bCs/>
                <w:lang w:eastAsia="cs-CZ"/>
              </w:rPr>
              <w:t xml:space="preserve"> </w:t>
            </w:r>
            <w:r w:rsidR="00DD5D3D">
              <w:rPr>
                <w:rFonts w:eastAsia="Times New Roman"/>
                <w:b/>
                <w:bCs/>
                <w:lang w:eastAsia="cs-CZ"/>
              </w:rPr>
              <w:t>KFM)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1218" w14:textId="77777777" w:rsidR="005C2DD5" w:rsidRPr="001B6339" w:rsidRDefault="005C2DD5" w:rsidP="005C2DD5">
            <w:pPr>
              <w:rPr>
                <w:rFonts w:eastAsia="Times New Roman"/>
                <w:lang w:eastAsia="cs-CZ"/>
              </w:rPr>
            </w:pPr>
            <w:r w:rsidRPr="001B6339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DEBD" w14:textId="64B3C28D" w:rsidR="005C2DD5" w:rsidRPr="001B6339" w:rsidRDefault="00BF1D4D" w:rsidP="009A1188">
            <w:pPr>
              <w:jc w:val="right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6</w:t>
            </w:r>
            <w:r w:rsidR="00146F26">
              <w:rPr>
                <w:rFonts w:eastAsia="Times New Roman"/>
                <w:b/>
                <w:lang w:eastAsia="cs-CZ"/>
              </w:rPr>
              <w:t>.</w:t>
            </w:r>
            <w:r>
              <w:rPr>
                <w:rFonts w:eastAsia="Times New Roman"/>
                <w:b/>
                <w:lang w:eastAsia="cs-CZ"/>
              </w:rPr>
              <w:t>96</w:t>
            </w:r>
            <w:r w:rsidR="00551D9F">
              <w:rPr>
                <w:rFonts w:eastAsia="Times New Roman"/>
                <w:b/>
                <w:lang w:eastAsia="cs-CZ"/>
              </w:rPr>
              <w:t>9</w:t>
            </w:r>
            <w:r w:rsidR="00146F26">
              <w:rPr>
                <w:rFonts w:eastAsia="Times New Roman"/>
                <w:b/>
                <w:lang w:eastAsia="cs-CZ"/>
              </w:rPr>
              <w:t>.</w:t>
            </w:r>
            <w:r>
              <w:rPr>
                <w:rFonts w:eastAsia="Times New Roman"/>
                <w:b/>
                <w:lang w:eastAsia="cs-CZ"/>
              </w:rPr>
              <w:t>09</w:t>
            </w:r>
            <w:r w:rsidR="00551D9F">
              <w:rPr>
                <w:rFonts w:eastAsia="Times New Roman"/>
                <w:b/>
                <w:lang w:eastAsia="cs-CZ"/>
              </w:rPr>
              <w:t>0</w:t>
            </w:r>
            <w:r w:rsidR="00146F26">
              <w:rPr>
                <w:rFonts w:eastAsia="Times New Roman"/>
                <w:b/>
                <w:lang w:eastAsia="cs-CZ"/>
              </w:rPr>
              <w:t>,</w:t>
            </w:r>
            <w:r>
              <w:rPr>
                <w:rFonts w:eastAsia="Times New Roman"/>
                <w:b/>
                <w:lang w:eastAsia="cs-CZ"/>
              </w:rPr>
              <w:t>26</w:t>
            </w:r>
          </w:p>
        </w:tc>
      </w:tr>
      <w:tr w:rsidR="005C2DD5" w:rsidRPr="003B1647" w14:paraId="72322EAA" w14:textId="77777777" w:rsidTr="00D76251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CBAB" w14:textId="77777777" w:rsidR="005C2DD5" w:rsidRPr="001B6339" w:rsidRDefault="005C2DD5" w:rsidP="005C2DD5">
            <w:pPr>
              <w:rPr>
                <w:rFonts w:eastAsia="Times New Roman"/>
                <w:bCs/>
                <w:lang w:eastAsia="cs-CZ"/>
              </w:rPr>
            </w:pPr>
            <w:r w:rsidRPr="001B6339">
              <w:rPr>
                <w:rFonts w:eastAsia="Times New Roman"/>
                <w:bCs/>
                <w:lang w:eastAsia="cs-CZ"/>
              </w:rPr>
              <w:t>Krátkodobé pohledávky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31C4" w14:textId="77777777" w:rsidR="005C2DD5" w:rsidRPr="00FE5A1C" w:rsidRDefault="005C2DD5" w:rsidP="00EE41B6">
            <w:pPr>
              <w:rPr>
                <w:rFonts w:eastAsia="Times New Roman"/>
                <w:i/>
                <w:lang w:eastAsia="cs-CZ"/>
              </w:rPr>
            </w:pPr>
            <w:r w:rsidRPr="001B6339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71375" w14:textId="225A4305" w:rsidR="005C2DD5" w:rsidRPr="001B6339" w:rsidRDefault="00BF1D4D" w:rsidP="00F97CF7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47</w:t>
            </w:r>
            <w:r w:rsidR="005B2E92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128</w:t>
            </w:r>
            <w:r w:rsidR="008A7814" w:rsidRPr="001B6339">
              <w:rPr>
                <w:rFonts w:eastAsia="Times New Roman"/>
                <w:lang w:eastAsia="cs-CZ"/>
              </w:rPr>
              <w:t>,00</w:t>
            </w:r>
          </w:p>
        </w:tc>
      </w:tr>
      <w:tr w:rsidR="005C2DD5" w:rsidRPr="003B1647" w14:paraId="7E2C4F4C" w14:textId="77777777" w:rsidTr="00D76251">
        <w:trPr>
          <w:trHeight w:val="52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34AF" w14:textId="25B13CD1" w:rsidR="005C2DD5" w:rsidRDefault="00551D9F" w:rsidP="00AA6A32">
            <w:pPr>
              <w:rPr>
                <w:rFonts w:eastAsia="Times New Roman"/>
                <w:i/>
                <w:iCs/>
                <w:lang w:eastAsia="cs-CZ"/>
              </w:rPr>
            </w:pPr>
            <w:proofErr w:type="gramStart"/>
            <w:r>
              <w:rPr>
                <w:rFonts w:eastAsia="Times New Roman"/>
                <w:i/>
                <w:iCs/>
                <w:lang w:eastAsia="cs-CZ"/>
              </w:rPr>
              <w:t>314</w:t>
            </w:r>
            <w:r w:rsidR="006C7D0B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>
              <w:rPr>
                <w:rFonts w:eastAsia="Times New Roman"/>
                <w:i/>
                <w:iCs/>
                <w:lang w:eastAsia="cs-CZ"/>
              </w:rPr>
              <w:t xml:space="preserve"> –</w:t>
            </w:r>
            <w:proofErr w:type="gramEnd"/>
            <w:r>
              <w:rPr>
                <w:rFonts w:eastAsia="Times New Roman"/>
                <w:i/>
                <w:iCs/>
                <w:lang w:eastAsia="cs-CZ"/>
              </w:rPr>
              <w:t xml:space="preserve"> Krátkodobé poskytnuté zálohy</w:t>
            </w:r>
          </w:p>
          <w:p w14:paraId="3632DA0B" w14:textId="1B76D29A" w:rsidR="00FB1A1B" w:rsidRPr="00A90B7A" w:rsidRDefault="00F97CF7" w:rsidP="00AA6A32">
            <w:pPr>
              <w:rPr>
                <w:rFonts w:eastAsia="Times New Roman"/>
                <w:i/>
                <w:iCs/>
                <w:lang w:eastAsia="cs-CZ"/>
              </w:rPr>
            </w:pPr>
            <w:proofErr w:type="gramStart"/>
            <w:r>
              <w:rPr>
                <w:rFonts w:eastAsia="Times New Roman"/>
                <w:i/>
                <w:iCs/>
                <w:lang w:eastAsia="cs-CZ"/>
              </w:rPr>
              <w:t>3</w:t>
            </w:r>
            <w:r w:rsidR="00EE41B6">
              <w:rPr>
                <w:rFonts w:eastAsia="Times New Roman"/>
                <w:i/>
                <w:iCs/>
                <w:lang w:eastAsia="cs-CZ"/>
              </w:rPr>
              <w:t>15</w:t>
            </w:r>
            <w:r w:rsidR="006C7D0B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="00EE41B6">
              <w:rPr>
                <w:rFonts w:eastAsia="Times New Roman"/>
                <w:i/>
                <w:iCs/>
                <w:lang w:eastAsia="cs-CZ"/>
              </w:rPr>
              <w:t xml:space="preserve"> –</w:t>
            </w:r>
            <w:proofErr w:type="gramEnd"/>
            <w:r w:rsidR="00EE41B6">
              <w:rPr>
                <w:rFonts w:eastAsia="Times New Roman"/>
                <w:i/>
                <w:iCs/>
                <w:lang w:eastAsia="cs-CZ"/>
              </w:rPr>
              <w:t xml:space="preserve"> Jiné pohledávky</w:t>
            </w:r>
          </w:p>
          <w:p w14:paraId="52C5EBF6" w14:textId="4A390225" w:rsidR="00AA6A32" w:rsidRPr="00A90B7A" w:rsidRDefault="00551D9F" w:rsidP="00551D9F">
            <w:pPr>
              <w:rPr>
                <w:rFonts w:eastAsia="Times New Roman"/>
                <w:i/>
                <w:iCs/>
                <w:lang w:eastAsia="cs-CZ"/>
              </w:rPr>
            </w:pPr>
            <w:proofErr w:type="gramStart"/>
            <w:r>
              <w:rPr>
                <w:rFonts w:eastAsia="Times New Roman"/>
                <w:i/>
                <w:iCs/>
                <w:lang w:eastAsia="cs-CZ"/>
              </w:rPr>
              <w:t>348</w:t>
            </w:r>
            <w:r w:rsidR="006C7D0B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>
              <w:rPr>
                <w:rFonts w:eastAsia="Times New Roman"/>
                <w:i/>
                <w:iCs/>
                <w:lang w:eastAsia="cs-CZ"/>
              </w:rPr>
              <w:t xml:space="preserve"> –</w:t>
            </w:r>
            <w:proofErr w:type="gramEnd"/>
            <w:r>
              <w:rPr>
                <w:rFonts w:eastAsia="Times New Roman"/>
                <w:i/>
                <w:iCs/>
                <w:lang w:eastAsia="cs-CZ"/>
              </w:rPr>
              <w:t xml:space="preserve"> Pohledávky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1130" w14:textId="5CFD73C7" w:rsidR="00877D91" w:rsidRDefault="00551D9F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Zálohy el. energie a vody</w:t>
            </w:r>
          </w:p>
          <w:p w14:paraId="4D722997" w14:textId="77777777" w:rsidR="000E730B" w:rsidRPr="00A70A01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TKO</w:t>
            </w:r>
          </w:p>
          <w:p w14:paraId="6A1F150C" w14:textId="2AEB269A" w:rsidR="00877D91" w:rsidRPr="00A70A01" w:rsidRDefault="00877D91" w:rsidP="00551D9F">
            <w:pPr>
              <w:rPr>
                <w:rFonts w:eastAsia="Times New Roman"/>
                <w:i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7653F" w14:textId="28EC02F3" w:rsidR="00AA6A32" w:rsidRPr="00A70A01" w:rsidRDefault="00BF1D4D" w:rsidP="00AA6A32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39</w:t>
            </w:r>
            <w:r w:rsidR="00146F26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128</w:t>
            </w:r>
            <w:r w:rsidR="005C2DD5" w:rsidRPr="00A70A01">
              <w:rPr>
                <w:rFonts w:eastAsia="Times New Roman"/>
                <w:i/>
                <w:lang w:eastAsia="cs-CZ"/>
              </w:rPr>
              <w:t>,00</w:t>
            </w:r>
          </w:p>
          <w:p w14:paraId="1073ED58" w14:textId="24530A90" w:rsidR="00FB1A1B" w:rsidRPr="00A70A01" w:rsidRDefault="00551D9F" w:rsidP="00F97CF7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8</w:t>
            </w:r>
            <w:r w:rsidR="00B321C9">
              <w:rPr>
                <w:rFonts w:eastAsia="Times New Roman"/>
                <w:i/>
                <w:lang w:eastAsia="cs-CZ"/>
              </w:rPr>
              <w:t>.</w:t>
            </w:r>
            <w:r w:rsidR="00BF1D4D">
              <w:rPr>
                <w:rFonts w:eastAsia="Times New Roman"/>
                <w:i/>
                <w:lang w:eastAsia="cs-CZ"/>
              </w:rPr>
              <w:t>0</w:t>
            </w:r>
            <w:r w:rsidR="00146F26">
              <w:rPr>
                <w:rFonts w:eastAsia="Times New Roman"/>
                <w:i/>
                <w:lang w:eastAsia="cs-CZ"/>
              </w:rPr>
              <w:t>00</w:t>
            </w:r>
            <w:r w:rsidR="00F97CF7">
              <w:rPr>
                <w:rFonts w:eastAsia="Times New Roman"/>
                <w:i/>
                <w:lang w:eastAsia="cs-CZ"/>
              </w:rPr>
              <w:t>,00</w:t>
            </w:r>
          </w:p>
          <w:p w14:paraId="1EB418E8" w14:textId="31B7BE9B" w:rsidR="00AA6A32" w:rsidRPr="00A70A01" w:rsidRDefault="00BF1D4D" w:rsidP="00551D9F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0</w:t>
            </w:r>
            <w:r w:rsidR="00DD5D3D">
              <w:rPr>
                <w:rFonts w:eastAsia="Times New Roman"/>
                <w:i/>
                <w:lang w:eastAsia="cs-CZ"/>
              </w:rPr>
              <w:t>,00</w:t>
            </w:r>
          </w:p>
        </w:tc>
      </w:tr>
      <w:tr w:rsidR="005C2DD5" w:rsidRPr="00962ED5" w14:paraId="47A6F251" w14:textId="77777777" w:rsidTr="00D76251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20B5" w14:textId="77777777" w:rsidR="005C2DD5" w:rsidRPr="001B6339" w:rsidRDefault="005C2DD5" w:rsidP="005C2DD5">
            <w:pPr>
              <w:rPr>
                <w:rFonts w:eastAsia="Times New Roman"/>
                <w:bCs/>
                <w:lang w:eastAsia="cs-CZ"/>
              </w:rPr>
            </w:pPr>
            <w:r w:rsidRPr="001B6339">
              <w:rPr>
                <w:rFonts w:eastAsia="Times New Roman"/>
                <w:bCs/>
                <w:lang w:eastAsia="cs-CZ"/>
              </w:rPr>
              <w:t>Krátkodobý finanční majetek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6A3D" w14:textId="77777777" w:rsidR="005C2DD5" w:rsidRPr="001B6339" w:rsidRDefault="005C2DD5" w:rsidP="005C2DD5">
            <w:pPr>
              <w:rPr>
                <w:rFonts w:eastAsia="Times New Roman"/>
                <w:lang w:eastAsia="cs-CZ"/>
              </w:rPr>
            </w:pPr>
            <w:r w:rsidRPr="001B6339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7FA0" w14:textId="78592357" w:rsidR="005C2DD5" w:rsidRPr="001B6339" w:rsidRDefault="00BF1D4D" w:rsidP="00F97CF7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6</w:t>
            </w:r>
            <w:r w:rsidR="00A94C2C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921</w:t>
            </w:r>
            <w:r w:rsidR="00A94C2C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962</w:t>
            </w:r>
            <w:r w:rsidR="00A94C2C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26</w:t>
            </w:r>
          </w:p>
        </w:tc>
      </w:tr>
      <w:tr w:rsidR="005C2DD5" w:rsidRPr="003B1647" w14:paraId="346D2679" w14:textId="77777777" w:rsidTr="00D76251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FB6B" w14:textId="41F79FFF" w:rsidR="005C2DD5" w:rsidRPr="00A90B7A" w:rsidRDefault="005C2DD5" w:rsidP="009A042B">
            <w:pPr>
              <w:rPr>
                <w:rFonts w:eastAsia="Times New Roman"/>
                <w:i/>
                <w:iCs/>
                <w:lang w:eastAsia="cs-CZ"/>
              </w:rPr>
            </w:pPr>
            <w:proofErr w:type="gramStart"/>
            <w:r w:rsidRPr="00A90B7A">
              <w:rPr>
                <w:rFonts w:eastAsia="Times New Roman"/>
                <w:i/>
                <w:iCs/>
                <w:lang w:eastAsia="cs-CZ"/>
              </w:rPr>
              <w:t>231</w:t>
            </w:r>
            <w:r w:rsidR="006C7D0B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Pr="00A90B7A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="009A042B">
              <w:rPr>
                <w:rFonts w:eastAsia="Times New Roman"/>
                <w:i/>
                <w:iCs/>
                <w:lang w:eastAsia="cs-CZ"/>
              </w:rPr>
              <w:t>–</w:t>
            </w:r>
            <w:proofErr w:type="gramEnd"/>
            <w:r w:rsidR="00FC0F22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="009A042B">
              <w:rPr>
                <w:rFonts w:eastAsia="Times New Roman"/>
                <w:i/>
                <w:iCs/>
                <w:lang w:eastAsia="cs-CZ"/>
              </w:rPr>
              <w:t>B</w:t>
            </w:r>
            <w:r w:rsidR="00FC0F22">
              <w:rPr>
                <w:rFonts w:eastAsia="Times New Roman"/>
                <w:i/>
                <w:iCs/>
                <w:lang w:eastAsia="cs-CZ"/>
              </w:rPr>
              <w:t>ankovní účty</w:t>
            </w:r>
            <w:r w:rsidR="009A042B">
              <w:rPr>
                <w:rFonts w:eastAsia="Times New Roman"/>
                <w:i/>
                <w:iCs/>
                <w:lang w:eastAsia="cs-CZ"/>
              </w:rPr>
              <w:t xml:space="preserve"> 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C2A96" w14:textId="5138C87E" w:rsidR="005C2DD5" w:rsidRPr="00A90B7A" w:rsidRDefault="005C2DD5" w:rsidP="005C2DD5">
            <w:pPr>
              <w:rPr>
                <w:rFonts w:eastAsia="Times New Roman"/>
                <w:lang w:eastAsia="cs-CZ"/>
              </w:rPr>
            </w:pPr>
            <w:r w:rsidRPr="00A90B7A">
              <w:rPr>
                <w:rFonts w:eastAsia="Times New Roman"/>
                <w:lang w:eastAsia="cs-CZ"/>
              </w:rPr>
              <w:t> </w:t>
            </w:r>
            <w:r w:rsidR="00FC0F22">
              <w:rPr>
                <w:rFonts w:eastAsia="Times New Roman"/>
                <w:i/>
                <w:iCs/>
                <w:lang w:eastAsia="cs-CZ"/>
              </w:rPr>
              <w:t>(ČS, ČNB, ERA</w:t>
            </w:r>
            <w:r w:rsidR="009F3F4B">
              <w:rPr>
                <w:rFonts w:eastAsia="Times New Roman"/>
                <w:i/>
                <w:iCs/>
                <w:lang w:eastAsia="cs-CZ"/>
              </w:rPr>
              <w:t xml:space="preserve"> PS</w:t>
            </w:r>
            <w:r w:rsidR="00FC0F22">
              <w:rPr>
                <w:rFonts w:eastAsia="Times New Roman"/>
                <w:i/>
                <w:iCs/>
                <w:lang w:eastAsia="cs-CZ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A99DB" w14:textId="302A91BA" w:rsidR="005C2DD5" w:rsidRPr="00C87875" w:rsidRDefault="00BF1D4D" w:rsidP="00F97CF7">
            <w:pPr>
              <w:jc w:val="right"/>
              <w:rPr>
                <w:rFonts w:eastAsia="Times New Roman"/>
                <w:i/>
                <w:iCs/>
                <w:lang w:eastAsia="cs-CZ"/>
              </w:rPr>
            </w:pPr>
            <w:r>
              <w:rPr>
                <w:rFonts w:eastAsia="Times New Roman"/>
                <w:i/>
                <w:iCs/>
                <w:lang w:eastAsia="cs-CZ"/>
              </w:rPr>
              <w:t>6</w:t>
            </w:r>
            <w:r w:rsidR="00A94C2C" w:rsidRPr="00C87875">
              <w:rPr>
                <w:rFonts w:eastAsia="Times New Roman"/>
                <w:i/>
                <w:iCs/>
                <w:lang w:eastAsia="cs-CZ"/>
              </w:rPr>
              <w:t>.</w:t>
            </w:r>
            <w:r>
              <w:rPr>
                <w:rFonts w:eastAsia="Times New Roman"/>
                <w:i/>
                <w:iCs/>
                <w:lang w:eastAsia="cs-CZ"/>
              </w:rPr>
              <w:t>921</w:t>
            </w:r>
            <w:r w:rsidR="00A94C2C" w:rsidRPr="00C87875">
              <w:rPr>
                <w:rFonts w:eastAsia="Times New Roman"/>
                <w:i/>
                <w:iCs/>
                <w:lang w:eastAsia="cs-CZ"/>
              </w:rPr>
              <w:t>.</w:t>
            </w:r>
            <w:r>
              <w:rPr>
                <w:rFonts w:eastAsia="Times New Roman"/>
                <w:i/>
                <w:iCs/>
                <w:lang w:eastAsia="cs-CZ"/>
              </w:rPr>
              <w:t>962</w:t>
            </w:r>
            <w:r w:rsidR="00A94C2C" w:rsidRPr="00C87875">
              <w:rPr>
                <w:rFonts w:eastAsia="Times New Roman"/>
                <w:i/>
                <w:iCs/>
                <w:lang w:eastAsia="cs-CZ"/>
              </w:rPr>
              <w:t>,</w:t>
            </w:r>
            <w:r>
              <w:rPr>
                <w:rFonts w:eastAsia="Times New Roman"/>
                <w:i/>
                <w:iCs/>
                <w:lang w:eastAsia="cs-CZ"/>
              </w:rPr>
              <w:t>26</w:t>
            </w:r>
          </w:p>
        </w:tc>
      </w:tr>
      <w:tr w:rsidR="005C2DD5" w:rsidRPr="003B1647" w14:paraId="7B3CD2BB" w14:textId="77777777" w:rsidTr="00D76251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C779" w14:textId="77777777" w:rsidR="005C2DD5" w:rsidRPr="001B6339" w:rsidRDefault="005C2DD5" w:rsidP="005C2DD5">
            <w:pPr>
              <w:rPr>
                <w:rFonts w:eastAsia="Times New Roman"/>
                <w:b/>
                <w:bCs/>
                <w:color w:val="000080"/>
                <w:lang w:eastAsia="cs-CZ"/>
              </w:rPr>
            </w:pPr>
            <w:r w:rsidRPr="001B6339">
              <w:rPr>
                <w:rFonts w:eastAsia="Times New Roman"/>
                <w:b/>
                <w:bCs/>
                <w:color w:val="000080"/>
                <w:lang w:eastAsia="cs-CZ"/>
              </w:rPr>
              <w:t>Pasiva</w:t>
            </w:r>
            <w:r w:rsidR="00FE1638" w:rsidRPr="001B6339">
              <w:rPr>
                <w:rFonts w:eastAsia="Times New Roman"/>
                <w:b/>
                <w:bCs/>
                <w:color w:val="000080"/>
                <w:lang w:eastAsia="cs-CZ"/>
              </w:rPr>
              <w:t xml:space="preserve"> celkem</w:t>
            </w:r>
            <w:r w:rsidR="00163006">
              <w:rPr>
                <w:rFonts w:eastAsia="Times New Roman"/>
                <w:b/>
                <w:bCs/>
                <w:color w:val="000080"/>
                <w:lang w:eastAsia="cs-CZ"/>
              </w:rPr>
              <w:t xml:space="preserve"> (vlastní kapitál, cizí zdroje)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63CC" w14:textId="77777777" w:rsidR="005C2DD5" w:rsidRPr="001B6339" w:rsidRDefault="005C2DD5" w:rsidP="005C2DD5">
            <w:pPr>
              <w:rPr>
                <w:rFonts w:eastAsia="Times New Roman"/>
                <w:b/>
                <w:bCs/>
                <w:color w:val="000080"/>
                <w:lang w:eastAsia="cs-CZ"/>
              </w:rPr>
            </w:pPr>
            <w:r w:rsidRPr="001B6339">
              <w:rPr>
                <w:rFonts w:eastAsia="Times New Roman"/>
                <w:b/>
                <w:bCs/>
                <w:color w:val="00008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F3FBC" w14:textId="5D284101" w:rsidR="005C2DD5" w:rsidRPr="001B6339" w:rsidRDefault="00060E8E" w:rsidP="00436CF4">
            <w:pPr>
              <w:jc w:val="right"/>
              <w:rPr>
                <w:rFonts w:eastAsia="Times New Roman"/>
                <w:b/>
                <w:bCs/>
                <w:color w:val="000080"/>
                <w:lang w:eastAsia="cs-CZ"/>
              </w:rPr>
            </w:pPr>
            <w:r>
              <w:rPr>
                <w:rFonts w:eastAsia="Times New Roman"/>
                <w:b/>
                <w:bCs/>
                <w:color w:val="000080"/>
                <w:lang w:eastAsia="cs-CZ"/>
              </w:rPr>
              <w:t>3</w:t>
            </w:r>
            <w:r w:rsidR="000C606E">
              <w:rPr>
                <w:rFonts w:eastAsia="Times New Roman"/>
                <w:b/>
                <w:bCs/>
                <w:color w:val="000080"/>
                <w:lang w:eastAsia="cs-CZ"/>
              </w:rPr>
              <w:t>1</w:t>
            </w:r>
            <w:r w:rsidR="00A94C2C">
              <w:rPr>
                <w:rFonts w:eastAsia="Times New Roman"/>
                <w:b/>
                <w:bCs/>
                <w:color w:val="000080"/>
                <w:lang w:eastAsia="cs-CZ"/>
              </w:rPr>
              <w:t>.</w:t>
            </w:r>
            <w:r w:rsidR="000C606E">
              <w:rPr>
                <w:rFonts w:eastAsia="Times New Roman"/>
                <w:b/>
                <w:bCs/>
                <w:color w:val="000080"/>
                <w:lang w:eastAsia="cs-CZ"/>
              </w:rPr>
              <w:t>971</w:t>
            </w:r>
            <w:r w:rsidR="00A94C2C">
              <w:rPr>
                <w:rFonts w:eastAsia="Times New Roman"/>
                <w:b/>
                <w:bCs/>
                <w:color w:val="000080"/>
                <w:lang w:eastAsia="cs-CZ"/>
              </w:rPr>
              <w:t>.</w:t>
            </w:r>
            <w:r w:rsidR="006949D7">
              <w:rPr>
                <w:rFonts w:eastAsia="Times New Roman"/>
                <w:b/>
                <w:bCs/>
                <w:color w:val="000080"/>
                <w:lang w:eastAsia="cs-CZ"/>
              </w:rPr>
              <w:t>9</w:t>
            </w:r>
            <w:r w:rsidR="000C606E">
              <w:rPr>
                <w:rFonts w:eastAsia="Times New Roman"/>
                <w:b/>
                <w:bCs/>
                <w:color w:val="000080"/>
                <w:lang w:eastAsia="cs-CZ"/>
              </w:rPr>
              <w:t>19</w:t>
            </w:r>
            <w:r w:rsidR="00A94C2C">
              <w:rPr>
                <w:rFonts w:eastAsia="Times New Roman"/>
                <w:b/>
                <w:bCs/>
                <w:color w:val="000080"/>
                <w:lang w:eastAsia="cs-CZ"/>
              </w:rPr>
              <w:t>,</w:t>
            </w:r>
            <w:r w:rsidR="006949D7">
              <w:rPr>
                <w:rFonts w:eastAsia="Times New Roman"/>
                <w:b/>
                <w:bCs/>
                <w:color w:val="000080"/>
                <w:lang w:eastAsia="cs-CZ"/>
              </w:rPr>
              <w:t>7</w:t>
            </w:r>
            <w:r w:rsidR="000C606E">
              <w:rPr>
                <w:rFonts w:eastAsia="Times New Roman"/>
                <w:b/>
                <w:bCs/>
                <w:color w:val="000080"/>
                <w:lang w:eastAsia="cs-CZ"/>
              </w:rPr>
              <w:t>0</w:t>
            </w:r>
          </w:p>
        </w:tc>
      </w:tr>
      <w:tr w:rsidR="005C2DD5" w:rsidRPr="007E4E0F" w14:paraId="6D2697D5" w14:textId="77777777" w:rsidTr="00D76251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3C0E" w14:textId="77777777" w:rsidR="005C2DD5" w:rsidRPr="001B6339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1B6339">
              <w:rPr>
                <w:rFonts w:eastAsia="Times New Roman"/>
                <w:b/>
                <w:bCs/>
                <w:lang w:eastAsia="cs-CZ"/>
              </w:rPr>
              <w:t>Vlastní kapitál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C31E" w14:textId="77777777" w:rsidR="005C2DD5" w:rsidRPr="001B6339" w:rsidRDefault="005C2DD5" w:rsidP="005C2DD5">
            <w:pPr>
              <w:rPr>
                <w:rFonts w:eastAsia="Times New Roman"/>
                <w:b/>
                <w:lang w:eastAsia="cs-CZ"/>
              </w:rPr>
            </w:pPr>
            <w:r w:rsidRPr="001B6339">
              <w:rPr>
                <w:rFonts w:eastAsia="Times New Roman"/>
                <w:b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B5487" w14:textId="3BE59C71" w:rsidR="005C2DD5" w:rsidRPr="001B6339" w:rsidRDefault="00060E8E" w:rsidP="00436CF4">
            <w:pPr>
              <w:jc w:val="right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3</w:t>
            </w:r>
            <w:r w:rsidR="000C606E">
              <w:rPr>
                <w:rFonts w:eastAsia="Times New Roman"/>
                <w:b/>
                <w:lang w:eastAsia="cs-CZ"/>
              </w:rPr>
              <w:t>1</w:t>
            </w:r>
            <w:r w:rsidR="00A94C2C">
              <w:rPr>
                <w:rFonts w:eastAsia="Times New Roman"/>
                <w:b/>
                <w:lang w:eastAsia="cs-CZ"/>
              </w:rPr>
              <w:t>.</w:t>
            </w:r>
            <w:r w:rsidR="000C606E">
              <w:rPr>
                <w:rFonts w:eastAsia="Times New Roman"/>
                <w:b/>
                <w:lang w:eastAsia="cs-CZ"/>
              </w:rPr>
              <w:t>673</w:t>
            </w:r>
            <w:r w:rsidR="00A94C2C">
              <w:rPr>
                <w:rFonts w:eastAsia="Times New Roman"/>
                <w:b/>
                <w:lang w:eastAsia="cs-CZ"/>
              </w:rPr>
              <w:t>.</w:t>
            </w:r>
            <w:r w:rsidR="000C606E">
              <w:rPr>
                <w:rFonts w:eastAsia="Times New Roman"/>
                <w:b/>
                <w:lang w:eastAsia="cs-CZ"/>
              </w:rPr>
              <w:t>089</w:t>
            </w:r>
            <w:r w:rsidR="00A94C2C">
              <w:rPr>
                <w:rFonts w:eastAsia="Times New Roman"/>
                <w:b/>
                <w:lang w:eastAsia="cs-CZ"/>
              </w:rPr>
              <w:t>,</w:t>
            </w:r>
            <w:r w:rsidR="000C606E">
              <w:rPr>
                <w:rFonts w:eastAsia="Times New Roman"/>
                <w:b/>
                <w:lang w:eastAsia="cs-CZ"/>
              </w:rPr>
              <w:t>70</w:t>
            </w:r>
          </w:p>
        </w:tc>
      </w:tr>
      <w:tr w:rsidR="0011434D" w:rsidRPr="003B1647" w14:paraId="24D125FD" w14:textId="77777777" w:rsidTr="00D76251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BA995" w14:textId="77777777" w:rsidR="0011434D" w:rsidRPr="00A90B7A" w:rsidRDefault="0011434D" w:rsidP="005C2DD5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Jmění účetní jednotky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A5D9" w14:textId="77777777" w:rsidR="0011434D" w:rsidRPr="00A90B7A" w:rsidRDefault="0011434D" w:rsidP="00436CF4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86541" w14:textId="19551935" w:rsidR="0011434D" w:rsidRDefault="00433027" w:rsidP="00436CF4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23</w:t>
            </w:r>
            <w:r w:rsidR="0011434D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317</w:t>
            </w:r>
            <w:r w:rsidR="0011434D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935</w:t>
            </w:r>
            <w:r w:rsidR="0011434D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20</w:t>
            </w:r>
          </w:p>
        </w:tc>
      </w:tr>
      <w:tr w:rsidR="005C2DD5" w:rsidRPr="003B1647" w14:paraId="22D423AA" w14:textId="77777777" w:rsidTr="00D76251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174E" w14:textId="77777777" w:rsidR="005C2DD5" w:rsidRPr="00A90B7A" w:rsidRDefault="005C2DD5" w:rsidP="005C2DD5">
            <w:pPr>
              <w:rPr>
                <w:rFonts w:eastAsia="Times New Roman"/>
                <w:bCs/>
                <w:lang w:eastAsia="cs-CZ"/>
              </w:rPr>
            </w:pPr>
            <w:r w:rsidRPr="00A90B7A">
              <w:rPr>
                <w:rFonts w:eastAsia="Times New Roman"/>
                <w:bCs/>
                <w:lang w:eastAsia="cs-CZ"/>
              </w:rPr>
              <w:t>Výsledek hospodaření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9CE3F" w14:textId="44CFD305" w:rsidR="005C2DD5" w:rsidRPr="00FC0F22" w:rsidRDefault="005C2DD5" w:rsidP="00436CF4">
            <w:pPr>
              <w:rPr>
                <w:rFonts w:eastAsia="Times New Roman"/>
                <w:i/>
                <w:lang w:eastAsia="cs-CZ"/>
              </w:rPr>
            </w:pPr>
            <w:r w:rsidRPr="00A90B7A">
              <w:rPr>
                <w:rFonts w:eastAsia="Times New Roman"/>
                <w:lang w:eastAsia="cs-CZ"/>
              </w:rPr>
              <w:t> </w:t>
            </w:r>
            <w:r w:rsidR="00B26EE1">
              <w:rPr>
                <w:rFonts w:eastAsia="Times New Roman"/>
                <w:lang w:eastAsia="cs-CZ"/>
              </w:rPr>
              <w:t>2</w:t>
            </w:r>
            <w:r w:rsidR="00B45333" w:rsidRPr="00FC0F22">
              <w:rPr>
                <w:rFonts w:eastAsia="Times New Roman"/>
                <w:i/>
                <w:lang w:eastAsia="cs-CZ"/>
              </w:rPr>
              <w:t>.</w:t>
            </w:r>
            <w:r w:rsidR="00433027">
              <w:rPr>
                <w:rFonts w:eastAsia="Times New Roman"/>
                <w:i/>
                <w:lang w:eastAsia="cs-CZ"/>
              </w:rPr>
              <w:t>190</w:t>
            </w:r>
            <w:r w:rsidR="00B45333" w:rsidRPr="00FC0F22">
              <w:rPr>
                <w:rFonts w:eastAsia="Times New Roman"/>
                <w:i/>
                <w:lang w:eastAsia="cs-CZ"/>
              </w:rPr>
              <w:t>.</w:t>
            </w:r>
            <w:r w:rsidR="00433027">
              <w:rPr>
                <w:rFonts w:eastAsia="Times New Roman"/>
                <w:i/>
                <w:lang w:eastAsia="cs-CZ"/>
              </w:rPr>
              <w:t>022</w:t>
            </w:r>
            <w:r w:rsidR="00B45333" w:rsidRPr="00FC0F22">
              <w:rPr>
                <w:rFonts w:eastAsia="Times New Roman"/>
                <w:i/>
                <w:lang w:eastAsia="cs-CZ"/>
              </w:rPr>
              <w:t>,</w:t>
            </w:r>
            <w:r w:rsidR="00433027">
              <w:rPr>
                <w:rFonts w:eastAsia="Times New Roman"/>
                <w:i/>
                <w:lang w:eastAsia="cs-CZ"/>
              </w:rPr>
              <w:t>49</w:t>
            </w:r>
            <w:r w:rsidR="00B45333" w:rsidRPr="00FC0F22">
              <w:rPr>
                <w:rFonts w:eastAsia="Times New Roman"/>
                <w:i/>
                <w:lang w:eastAsia="cs-CZ"/>
              </w:rPr>
              <w:t xml:space="preserve"> </w:t>
            </w:r>
            <w:r w:rsidR="00DE33BA" w:rsidRPr="00FC0F22">
              <w:rPr>
                <w:rFonts w:eastAsia="Times New Roman"/>
                <w:i/>
                <w:lang w:eastAsia="cs-CZ"/>
              </w:rPr>
              <w:t>(20</w:t>
            </w:r>
            <w:r w:rsidR="00B26EE1">
              <w:rPr>
                <w:rFonts w:eastAsia="Times New Roman"/>
                <w:i/>
                <w:lang w:eastAsia="cs-CZ"/>
              </w:rPr>
              <w:t>2</w:t>
            </w:r>
            <w:r w:rsidR="000C606E">
              <w:rPr>
                <w:rFonts w:eastAsia="Times New Roman"/>
                <w:i/>
                <w:lang w:eastAsia="cs-CZ"/>
              </w:rPr>
              <w:t>1</w:t>
            </w:r>
            <w:r w:rsidR="00DE33BA" w:rsidRPr="00FC0F22">
              <w:rPr>
                <w:rFonts w:eastAsia="Times New Roman"/>
                <w:i/>
                <w:lang w:eastAsia="cs-CZ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2898" w14:textId="628BBB21" w:rsidR="005C2DD5" w:rsidRPr="00A90B7A" w:rsidRDefault="000C606E" w:rsidP="00436CF4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8</w:t>
            </w:r>
            <w:r w:rsidR="0011434D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355</w:t>
            </w:r>
            <w:r w:rsidR="0011434D">
              <w:rPr>
                <w:rFonts w:eastAsia="Times New Roman"/>
                <w:lang w:eastAsia="cs-CZ"/>
              </w:rPr>
              <w:t>.</w:t>
            </w:r>
            <w:r w:rsidR="00B26EE1">
              <w:rPr>
                <w:rFonts w:eastAsia="Times New Roman"/>
                <w:lang w:eastAsia="cs-CZ"/>
              </w:rPr>
              <w:t>1</w:t>
            </w:r>
            <w:r>
              <w:rPr>
                <w:rFonts w:eastAsia="Times New Roman"/>
                <w:lang w:eastAsia="cs-CZ"/>
              </w:rPr>
              <w:t>54</w:t>
            </w:r>
            <w:r w:rsidR="0011434D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50</w:t>
            </w:r>
          </w:p>
        </w:tc>
      </w:tr>
      <w:tr w:rsidR="005C2DD5" w:rsidRPr="007E4E0F" w14:paraId="20324A61" w14:textId="77777777" w:rsidTr="00D76251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8FF6F" w14:textId="77777777" w:rsidR="005C2DD5" w:rsidRPr="00A90B7A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A90B7A">
              <w:rPr>
                <w:rFonts w:eastAsia="Times New Roman"/>
                <w:b/>
                <w:bCs/>
                <w:lang w:eastAsia="cs-CZ"/>
              </w:rPr>
              <w:t>Cizí zdroje</w:t>
            </w:r>
            <w:r w:rsidR="00163006">
              <w:rPr>
                <w:rFonts w:eastAsia="Times New Roman"/>
                <w:b/>
                <w:bCs/>
                <w:lang w:eastAsia="cs-CZ"/>
              </w:rPr>
              <w:t xml:space="preserve"> (DZ, KZ)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C1486" w14:textId="77777777" w:rsidR="005C2DD5" w:rsidRPr="00A90B7A" w:rsidRDefault="005C2DD5" w:rsidP="005C2DD5">
            <w:pPr>
              <w:rPr>
                <w:rFonts w:eastAsia="Times New Roman"/>
                <w:lang w:eastAsia="cs-CZ"/>
              </w:rPr>
            </w:pPr>
            <w:r w:rsidRPr="00A90B7A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C324B" w14:textId="5C127D9B" w:rsidR="005C2DD5" w:rsidRPr="00A90B7A" w:rsidRDefault="006949D7" w:rsidP="00436CF4">
            <w:pPr>
              <w:jc w:val="right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2</w:t>
            </w:r>
            <w:r w:rsidR="000C606E">
              <w:rPr>
                <w:rFonts w:eastAsia="Times New Roman"/>
                <w:b/>
                <w:lang w:eastAsia="cs-CZ"/>
              </w:rPr>
              <w:t>9</w:t>
            </w:r>
            <w:r w:rsidR="0022654D">
              <w:rPr>
                <w:rFonts w:eastAsia="Times New Roman"/>
                <w:b/>
                <w:lang w:eastAsia="cs-CZ"/>
              </w:rPr>
              <w:t>8.</w:t>
            </w:r>
            <w:r w:rsidR="000C606E">
              <w:rPr>
                <w:rFonts w:eastAsia="Times New Roman"/>
                <w:b/>
                <w:lang w:eastAsia="cs-CZ"/>
              </w:rPr>
              <w:t>830</w:t>
            </w:r>
            <w:r w:rsidR="0022654D">
              <w:rPr>
                <w:rFonts w:eastAsia="Times New Roman"/>
                <w:b/>
                <w:lang w:eastAsia="cs-CZ"/>
              </w:rPr>
              <w:t>,</w:t>
            </w:r>
            <w:r w:rsidR="000C606E">
              <w:rPr>
                <w:rFonts w:eastAsia="Times New Roman"/>
                <w:b/>
                <w:lang w:eastAsia="cs-CZ"/>
              </w:rPr>
              <w:t>00</w:t>
            </w:r>
          </w:p>
        </w:tc>
      </w:tr>
      <w:tr w:rsidR="00A70A01" w:rsidRPr="003B1647" w14:paraId="15339D6B" w14:textId="77777777" w:rsidTr="00D76251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C2AA1" w14:textId="77777777" w:rsidR="00A70A01" w:rsidRPr="00A90B7A" w:rsidRDefault="00A70A01" w:rsidP="005C2DD5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Dlouhodobé závazky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2F98" w14:textId="77777777" w:rsidR="00A70A01" w:rsidRPr="00A90B7A" w:rsidRDefault="00A70A01" w:rsidP="005C2DD5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8A2D" w14:textId="09EE7603" w:rsidR="00A70A01" w:rsidRPr="00A90B7A" w:rsidRDefault="006949D7" w:rsidP="00436CF4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0</w:t>
            </w:r>
            <w:r w:rsidR="0022654D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00</w:t>
            </w:r>
          </w:p>
        </w:tc>
      </w:tr>
      <w:tr w:rsidR="00A70A01" w:rsidRPr="003B1647" w14:paraId="45741AB1" w14:textId="77777777" w:rsidTr="00D76251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AC6C5" w14:textId="28C8F2A0" w:rsidR="00A70A01" w:rsidRPr="00A70A01" w:rsidRDefault="00A70A01" w:rsidP="005C2DD5">
            <w:pPr>
              <w:rPr>
                <w:rFonts w:eastAsia="Times New Roman"/>
                <w:bCs/>
                <w:i/>
                <w:lang w:eastAsia="cs-CZ"/>
              </w:rPr>
            </w:pPr>
            <w:proofErr w:type="gramStart"/>
            <w:r>
              <w:rPr>
                <w:rFonts w:eastAsia="Times New Roman"/>
                <w:bCs/>
                <w:i/>
                <w:lang w:eastAsia="cs-CZ"/>
              </w:rPr>
              <w:t>45</w:t>
            </w:r>
            <w:r w:rsidR="00A94C2C">
              <w:rPr>
                <w:rFonts w:eastAsia="Times New Roman"/>
                <w:bCs/>
                <w:i/>
                <w:lang w:eastAsia="cs-CZ"/>
              </w:rPr>
              <w:t>1</w:t>
            </w:r>
            <w:r w:rsidR="0089745F">
              <w:rPr>
                <w:rFonts w:eastAsia="Times New Roman"/>
                <w:bCs/>
                <w:i/>
                <w:lang w:eastAsia="cs-CZ"/>
              </w:rPr>
              <w:t xml:space="preserve"> </w:t>
            </w:r>
            <w:r>
              <w:rPr>
                <w:rFonts w:eastAsia="Times New Roman"/>
                <w:bCs/>
                <w:i/>
                <w:lang w:eastAsia="cs-CZ"/>
              </w:rPr>
              <w:t xml:space="preserve"> –</w:t>
            </w:r>
            <w:proofErr w:type="gramEnd"/>
            <w:r>
              <w:rPr>
                <w:rFonts w:eastAsia="Times New Roman"/>
                <w:bCs/>
                <w:i/>
                <w:lang w:eastAsia="cs-CZ"/>
              </w:rPr>
              <w:t xml:space="preserve"> Dlouhodobé </w:t>
            </w:r>
            <w:r w:rsidR="00A94C2C">
              <w:rPr>
                <w:rFonts w:eastAsia="Times New Roman"/>
                <w:bCs/>
                <w:i/>
                <w:lang w:eastAsia="cs-CZ"/>
              </w:rPr>
              <w:t>úvěry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64EB" w14:textId="5C725428" w:rsidR="00A70A01" w:rsidRPr="00A70A01" w:rsidRDefault="00A94C2C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 xml:space="preserve">Kanalizace </w:t>
            </w:r>
            <w:r w:rsidR="00EC739A">
              <w:rPr>
                <w:rFonts w:eastAsia="Times New Roman"/>
                <w:i/>
                <w:lang w:eastAsia="cs-CZ"/>
              </w:rPr>
              <w:t>úvěr</w:t>
            </w:r>
            <w:r w:rsidR="00D83AE0">
              <w:rPr>
                <w:rFonts w:eastAsia="Times New Roman"/>
                <w:i/>
                <w:lang w:eastAsia="cs-CZ"/>
              </w:rPr>
              <w:t xml:space="preserve"> doplacen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43FE5" w14:textId="53928DB9" w:rsidR="00A70A01" w:rsidRPr="00A70A01" w:rsidRDefault="0022654D" w:rsidP="00436CF4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0,</w:t>
            </w:r>
            <w:r w:rsidR="006949D7">
              <w:rPr>
                <w:rFonts w:eastAsia="Times New Roman"/>
                <w:i/>
                <w:lang w:eastAsia="cs-CZ"/>
              </w:rPr>
              <w:t>00</w:t>
            </w:r>
          </w:p>
        </w:tc>
      </w:tr>
      <w:tr w:rsidR="00A70A01" w:rsidRPr="003B1647" w14:paraId="6AE728A9" w14:textId="77777777" w:rsidTr="00D76251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0E4BA" w14:textId="77777777" w:rsidR="00A70A01" w:rsidRPr="00A90B7A" w:rsidRDefault="00A70A01" w:rsidP="005C2DD5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Krátkodobé závazky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60AD" w14:textId="77777777" w:rsidR="00A70A01" w:rsidRPr="00A90B7A" w:rsidRDefault="00A70A01" w:rsidP="005C2DD5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0B405" w14:textId="3CE457F4" w:rsidR="00A70A01" w:rsidRPr="00A90B7A" w:rsidRDefault="0022654D" w:rsidP="00436CF4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</w:t>
            </w:r>
            <w:r w:rsidR="000C606E">
              <w:rPr>
                <w:rFonts w:eastAsia="Times New Roman"/>
                <w:lang w:eastAsia="cs-CZ"/>
              </w:rPr>
              <w:t>9</w:t>
            </w:r>
            <w:r w:rsidR="006949D7">
              <w:rPr>
                <w:rFonts w:eastAsia="Times New Roman"/>
                <w:lang w:eastAsia="cs-CZ"/>
              </w:rPr>
              <w:t>8</w:t>
            </w:r>
            <w:r>
              <w:rPr>
                <w:rFonts w:eastAsia="Times New Roman"/>
                <w:lang w:eastAsia="cs-CZ"/>
              </w:rPr>
              <w:t>.</w:t>
            </w:r>
            <w:r w:rsidR="000C606E">
              <w:rPr>
                <w:rFonts w:eastAsia="Times New Roman"/>
                <w:lang w:eastAsia="cs-CZ"/>
              </w:rPr>
              <w:t>830</w:t>
            </w:r>
            <w:r>
              <w:rPr>
                <w:rFonts w:eastAsia="Times New Roman"/>
                <w:lang w:eastAsia="cs-CZ"/>
              </w:rPr>
              <w:t>,</w:t>
            </w:r>
            <w:r w:rsidR="000C606E">
              <w:rPr>
                <w:rFonts w:eastAsia="Times New Roman"/>
                <w:lang w:eastAsia="cs-CZ"/>
              </w:rPr>
              <w:t>00</w:t>
            </w:r>
          </w:p>
        </w:tc>
      </w:tr>
      <w:tr w:rsidR="005C2DD5" w:rsidRPr="003B1647" w14:paraId="624BC7AB" w14:textId="77777777" w:rsidTr="00D76251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DD8C" w14:textId="4010BAF8" w:rsidR="005C2DD5" w:rsidRDefault="00A70A01" w:rsidP="005C2DD5">
            <w:pPr>
              <w:rPr>
                <w:rFonts w:eastAsia="Times New Roman"/>
                <w:bCs/>
                <w:i/>
                <w:lang w:eastAsia="cs-CZ"/>
              </w:rPr>
            </w:pPr>
            <w:proofErr w:type="gramStart"/>
            <w:r>
              <w:rPr>
                <w:rFonts w:eastAsia="Times New Roman"/>
                <w:bCs/>
                <w:i/>
                <w:lang w:eastAsia="cs-CZ"/>
              </w:rPr>
              <w:t>321</w:t>
            </w:r>
            <w:r w:rsidR="0089745F">
              <w:rPr>
                <w:rFonts w:eastAsia="Times New Roman"/>
                <w:bCs/>
                <w:i/>
                <w:lang w:eastAsia="cs-CZ"/>
              </w:rPr>
              <w:t xml:space="preserve"> </w:t>
            </w:r>
            <w:r>
              <w:rPr>
                <w:rFonts w:eastAsia="Times New Roman"/>
                <w:bCs/>
                <w:i/>
                <w:lang w:eastAsia="cs-CZ"/>
              </w:rPr>
              <w:t xml:space="preserve"> </w:t>
            </w:r>
            <w:r w:rsidR="00D72762">
              <w:rPr>
                <w:rFonts w:eastAsia="Times New Roman"/>
                <w:bCs/>
                <w:i/>
                <w:lang w:eastAsia="cs-CZ"/>
              </w:rPr>
              <w:t>–</w:t>
            </w:r>
            <w:proofErr w:type="gramEnd"/>
            <w:r>
              <w:rPr>
                <w:rFonts w:eastAsia="Times New Roman"/>
                <w:bCs/>
                <w:i/>
                <w:lang w:eastAsia="cs-CZ"/>
              </w:rPr>
              <w:t xml:space="preserve"> Dodavatelé</w:t>
            </w:r>
          </w:p>
          <w:p w14:paraId="18B30AF8" w14:textId="5CE18393" w:rsidR="00436CF4" w:rsidRDefault="00436CF4" w:rsidP="005C2DD5">
            <w:pPr>
              <w:rPr>
                <w:rFonts w:eastAsia="Times New Roman"/>
                <w:bCs/>
                <w:i/>
                <w:lang w:eastAsia="cs-CZ"/>
              </w:rPr>
            </w:pPr>
            <w:proofErr w:type="gramStart"/>
            <w:r>
              <w:rPr>
                <w:rFonts w:eastAsia="Times New Roman"/>
                <w:bCs/>
                <w:i/>
                <w:lang w:eastAsia="cs-CZ"/>
              </w:rPr>
              <w:t>324</w:t>
            </w:r>
            <w:r w:rsidR="0089745F">
              <w:rPr>
                <w:rFonts w:eastAsia="Times New Roman"/>
                <w:bCs/>
                <w:i/>
                <w:lang w:eastAsia="cs-CZ"/>
              </w:rPr>
              <w:t xml:space="preserve"> </w:t>
            </w:r>
            <w:r>
              <w:rPr>
                <w:rFonts w:eastAsia="Times New Roman"/>
                <w:bCs/>
                <w:i/>
                <w:lang w:eastAsia="cs-CZ"/>
              </w:rPr>
              <w:t xml:space="preserve"> –</w:t>
            </w:r>
            <w:proofErr w:type="gramEnd"/>
            <w:r>
              <w:rPr>
                <w:rFonts w:eastAsia="Times New Roman"/>
                <w:bCs/>
                <w:i/>
                <w:lang w:eastAsia="cs-CZ"/>
              </w:rPr>
              <w:t xml:space="preserve"> Krátkodobé </w:t>
            </w:r>
          </w:p>
          <w:p w14:paraId="27B88E08" w14:textId="5281832E" w:rsidR="00D72762" w:rsidRDefault="00D72762" w:rsidP="005C2DD5">
            <w:pPr>
              <w:rPr>
                <w:rFonts w:eastAsia="Times New Roman"/>
                <w:bCs/>
                <w:i/>
                <w:lang w:eastAsia="cs-CZ"/>
              </w:rPr>
            </w:pPr>
            <w:proofErr w:type="gramStart"/>
            <w:r>
              <w:rPr>
                <w:rFonts w:eastAsia="Times New Roman"/>
                <w:bCs/>
                <w:i/>
                <w:lang w:eastAsia="cs-CZ"/>
              </w:rPr>
              <w:t>331</w:t>
            </w:r>
            <w:r w:rsidR="0089745F">
              <w:rPr>
                <w:rFonts w:eastAsia="Times New Roman"/>
                <w:bCs/>
                <w:i/>
                <w:lang w:eastAsia="cs-CZ"/>
              </w:rPr>
              <w:t xml:space="preserve"> </w:t>
            </w:r>
            <w:r>
              <w:rPr>
                <w:rFonts w:eastAsia="Times New Roman"/>
                <w:bCs/>
                <w:i/>
                <w:lang w:eastAsia="cs-CZ"/>
              </w:rPr>
              <w:t xml:space="preserve"> –</w:t>
            </w:r>
            <w:proofErr w:type="gramEnd"/>
            <w:r>
              <w:rPr>
                <w:rFonts w:eastAsia="Times New Roman"/>
                <w:bCs/>
                <w:i/>
                <w:lang w:eastAsia="cs-CZ"/>
              </w:rPr>
              <w:t xml:space="preserve"> Zaměstnanci</w:t>
            </w:r>
          </w:p>
          <w:p w14:paraId="6E2D9CC0" w14:textId="03AC1F98" w:rsidR="00D72762" w:rsidRDefault="00D72762" w:rsidP="005C2DD5">
            <w:pPr>
              <w:rPr>
                <w:rFonts w:eastAsia="Times New Roman"/>
                <w:bCs/>
                <w:i/>
                <w:lang w:eastAsia="cs-CZ"/>
              </w:rPr>
            </w:pPr>
            <w:proofErr w:type="gramStart"/>
            <w:r>
              <w:rPr>
                <w:rFonts w:eastAsia="Times New Roman"/>
                <w:bCs/>
                <w:i/>
                <w:lang w:eastAsia="cs-CZ"/>
              </w:rPr>
              <w:t>336</w:t>
            </w:r>
            <w:r w:rsidR="0089745F">
              <w:rPr>
                <w:rFonts w:eastAsia="Times New Roman"/>
                <w:bCs/>
                <w:i/>
                <w:lang w:eastAsia="cs-CZ"/>
              </w:rPr>
              <w:t xml:space="preserve"> </w:t>
            </w:r>
            <w:r>
              <w:rPr>
                <w:rFonts w:eastAsia="Times New Roman"/>
                <w:bCs/>
                <w:i/>
                <w:lang w:eastAsia="cs-CZ"/>
              </w:rPr>
              <w:t xml:space="preserve"> –</w:t>
            </w:r>
            <w:proofErr w:type="gramEnd"/>
            <w:r w:rsidR="0089745F">
              <w:rPr>
                <w:rFonts w:eastAsia="Times New Roman"/>
                <w:bCs/>
                <w:i/>
                <w:lang w:eastAsia="cs-CZ"/>
              </w:rPr>
              <w:t xml:space="preserve"> </w:t>
            </w:r>
            <w:r>
              <w:rPr>
                <w:rFonts w:eastAsia="Times New Roman"/>
                <w:bCs/>
                <w:i/>
                <w:lang w:eastAsia="cs-CZ"/>
              </w:rPr>
              <w:t xml:space="preserve">Zúčtování </w:t>
            </w:r>
            <w:r w:rsidR="008764F2">
              <w:rPr>
                <w:rFonts w:eastAsia="Times New Roman"/>
                <w:bCs/>
                <w:i/>
                <w:lang w:eastAsia="cs-CZ"/>
              </w:rPr>
              <w:t>soc</w:t>
            </w:r>
            <w:r>
              <w:rPr>
                <w:rFonts w:eastAsia="Times New Roman"/>
                <w:bCs/>
                <w:i/>
                <w:lang w:eastAsia="cs-CZ"/>
              </w:rPr>
              <w:t xml:space="preserve">. </w:t>
            </w:r>
            <w:r w:rsidR="009A042B">
              <w:rPr>
                <w:rFonts w:eastAsia="Times New Roman"/>
                <w:bCs/>
                <w:i/>
                <w:lang w:eastAsia="cs-CZ"/>
              </w:rPr>
              <w:t>p</w:t>
            </w:r>
            <w:r>
              <w:rPr>
                <w:rFonts w:eastAsia="Times New Roman"/>
                <w:bCs/>
                <w:i/>
                <w:lang w:eastAsia="cs-CZ"/>
              </w:rPr>
              <w:t>ojištění</w:t>
            </w:r>
          </w:p>
          <w:p w14:paraId="66E35567" w14:textId="74DDBC8D" w:rsidR="009A042B" w:rsidRDefault="009A042B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>337</w:t>
            </w:r>
            <w:r w:rsidR="0089745F">
              <w:rPr>
                <w:rFonts w:eastAsia="Times New Roman"/>
                <w:bCs/>
                <w:i/>
                <w:lang w:eastAsia="cs-CZ"/>
              </w:rPr>
              <w:t xml:space="preserve"> –</w:t>
            </w:r>
            <w:r>
              <w:rPr>
                <w:rFonts w:eastAsia="Times New Roman"/>
                <w:bCs/>
                <w:i/>
                <w:lang w:eastAsia="cs-CZ"/>
              </w:rPr>
              <w:t xml:space="preserve"> Zúčtování </w:t>
            </w:r>
            <w:proofErr w:type="spellStart"/>
            <w:r w:rsidR="008764F2">
              <w:rPr>
                <w:rFonts w:eastAsia="Times New Roman"/>
                <w:bCs/>
                <w:i/>
                <w:lang w:eastAsia="cs-CZ"/>
              </w:rPr>
              <w:t>zdr</w:t>
            </w:r>
            <w:proofErr w:type="spellEnd"/>
            <w:r>
              <w:rPr>
                <w:rFonts w:eastAsia="Times New Roman"/>
                <w:bCs/>
                <w:i/>
                <w:lang w:eastAsia="cs-CZ"/>
              </w:rPr>
              <w:t>. pojištění</w:t>
            </w:r>
          </w:p>
          <w:p w14:paraId="3A5040BC" w14:textId="52230319" w:rsidR="00D72762" w:rsidRDefault="00D72762" w:rsidP="005C2DD5">
            <w:pPr>
              <w:rPr>
                <w:rFonts w:eastAsia="Times New Roman"/>
                <w:bCs/>
                <w:i/>
                <w:lang w:eastAsia="cs-CZ"/>
              </w:rPr>
            </w:pPr>
            <w:proofErr w:type="gramStart"/>
            <w:r>
              <w:rPr>
                <w:rFonts w:eastAsia="Times New Roman"/>
                <w:bCs/>
                <w:i/>
                <w:lang w:eastAsia="cs-CZ"/>
              </w:rPr>
              <w:t>342</w:t>
            </w:r>
            <w:r w:rsidR="0089745F">
              <w:rPr>
                <w:rFonts w:eastAsia="Times New Roman"/>
                <w:bCs/>
                <w:i/>
                <w:lang w:eastAsia="cs-CZ"/>
              </w:rPr>
              <w:t xml:space="preserve"> </w:t>
            </w:r>
            <w:r>
              <w:rPr>
                <w:rFonts w:eastAsia="Times New Roman"/>
                <w:bCs/>
                <w:i/>
                <w:lang w:eastAsia="cs-CZ"/>
              </w:rPr>
              <w:t xml:space="preserve"> –</w:t>
            </w:r>
            <w:proofErr w:type="gramEnd"/>
            <w:r>
              <w:rPr>
                <w:rFonts w:eastAsia="Times New Roman"/>
                <w:bCs/>
                <w:i/>
                <w:lang w:eastAsia="cs-CZ"/>
              </w:rPr>
              <w:t xml:space="preserve"> Jiné přímé daně</w:t>
            </w:r>
          </w:p>
          <w:p w14:paraId="243AB565" w14:textId="5D9BBEEC" w:rsidR="00940624" w:rsidRDefault="00940624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>378 – Ostatní krátkodobé závazky</w:t>
            </w:r>
          </w:p>
          <w:p w14:paraId="59BA8BE4" w14:textId="372AF3E6" w:rsidR="00D72762" w:rsidRPr="00A70A01" w:rsidRDefault="00436CF4" w:rsidP="005C2DD5">
            <w:pPr>
              <w:rPr>
                <w:rFonts w:eastAsia="Times New Roman"/>
                <w:bCs/>
                <w:i/>
                <w:lang w:eastAsia="cs-CZ"/>
              </w:rPr>
            </w:pPr>
            <w:proofErr w:type="gramStart"/>
            <w:r>
              <w:rPr>
                <w:rFonts w:eastAsia="Times New Roman"/>
                <w:bCs/>
                <w:i/>
                <w:lang w:eastAsia="cs-CZ"/>
              </w:rPr>
              <w:t>384</w:t>
            </w:r>
            <w:r w:rsidR="0089745F">
              <w:rPr>
                <w:rFonts w:eastAsia="Times New Roman"/>
                <w:bCs/>
                <w:i/>
                <w:lang w:eastAsia="cs-CZ"/>
              </w:rPr>
              <w:t xml:space="preserve">  </w:t>
            </w:r>
            <w:r>
              <w:rPr>
                <w:rFonts w:eastAsia="Times New Roman"/>
                <w:bCs/>
                <w:i/>
                <w:lang w:eastAsia="cs-CZ"/>
              </w:rPr>
              <w:t>–</w:t>
            </w:r>
            <w:proofErr w:type="gramEnd"/>
            <w:r>
              <w:rPr>
                <w:rFonts w:eastAsia="Times New Roman"/>
                <w:bCs/>
                <w:i/>
                <w:lang w:eastAsia="cs-CZ"/>
              </w:rPr>
              <w:t xml:space="preserve"> Výnosy příštích období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9BB8" w14:textId="2C7CFCFC" w:rsidR="00FC0F22" w:rsidRDefault="00FC0F22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FP</w:t>
            </w:r>
            <w:r w:rsidR="005C2DD5" w:rsidRPr="00A70A01">
              <w:rPr>
                <w:rFonts w:eastAsia="Times New Roman"/>
                <w:i/>
                <w:lang w:eastAsia="cs-CZ"/>
              </w:rPr>
              <w:t> </w:t>
            </w:r>
            <w:r w:rsidR="00C6609B">
              <w:rPr>
                <w:rFonts w:eastAsia="Times New Roman"/>
                <w:i/>
                <w:lang w:eastAsia="cs-CZ"/>
              </w:rPr>
              <w:t>(</w:t>
            </w:r>
            <w:r w:rsidR="00940624">
              <w:rPr>
                <w:rFonts w:eastAsia="Times New Roman"/>
                <w:i/>
                <w:lang w:eastAsia="cs-CZ"/>
              </w:rPr>
              <w:t xml:space="preserve">cedule dotace </w:t>
            </w:r>
            <w:proofErr w:type="spellStart"/>
            <w:r w:rsidR="00940624">
              <w:rPr>
                <w:rFonts w:eastAsia="Times New Roman"/>
                <w:i/>
                <w:lang w:eastAsia="cs-CZ"/>
              </w:rPr>
              <w:t>Špytko</w:t>
            </w:r>
            <w:proofErr w:type="spellEnd"/>
            <w:r w:rsidR="00C6609B">
              <w:rPr>
                <w:rFonts w:eastAsia="Times New Roman"/>
                <w:i/>
                <w:lang w:eastAsia="cs-CZ"/>
              </w:rPr>
              <w:t>)</w:t>
            </w:r>
          </w:p>
          <w:p w14:paraId="5A83BF47" w14:textId="77777777" w:rsidR="003725E6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Zálohy el. energie a voda</w:t>
            </w:r>
          </w:p>
          <w:p w14:paraId="0B4DF40B" w14:textId="517F35DE" w:rsidR="009A042B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Mzdy 12/20</w:t>
            </w:r>
            <w:r w:rsidR="006949D7">
              <w:rPr>
                <w:rFonts w:eastAsia="Times New Roman"/>
                <w:i/>
                <w:lang w:eastAsia="cs-CZ"/>
              </w:rPr>
              <w:t>2</w:t>
            </w:r>
            <w:r w:rsidR="00940624">
              <w:rPr>
                <w:rFonts w:eastAsia="Times New Roman"/>
                <w:i/>
                <w:lang w:eastAsia="cs-CZ"/>
              </w:rPr>
              <w:t>1</w:t>
            </w:r>
          </w:p>
          <w:p w14:paraId="4897F707" w14:textId="09344DB4" w:rsidR="009A042B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OSSZ</w:t>
            </w:r>
            <w:r w:rsidR="006949D7">
              <w:rPr>
                <w:rFonts w:eastAsia="Times New Roman"/>
                <w:i/>
                <w:lang w:eastAsia="cs-CZ"/>
              </w:rPr>
              <w:t xml:space="preserve"> </w:t>
            </w:r>
            <w:proofErr w:type="spellStart"/>
            <w:r w:rsidR="006949D7">
              <w:rPr>
                <w:rFonts w:eastAsia="Times New Roman"/>
                <w:i/>
                <w:lang w:eastAsia="cs-CZ"/>
              </w:rPr>
              <w:t>soc.poj</w:t>
            </w:r>
            <w:proofErr w:type="spellEnd"/>
            <w:r w:rsidR="006949D7">
              <w:rPr>
                <w:rFonts w:eastAsia="Times New Roman"/>
                <w:i/>
                <w:lang w:eastAsia="cs-CZ"/>
              </w:rPr>
              <w:t>.</w:t>
            </w:r>
          </w:p>
          <w:p w14:paraId="08ECA7C1" w14:textId="7B4DAFF7" w:rsidR="009A042B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ZP</w:t>
            </w:r>
            <w:r w:rsidR="006949D7">
              <w:rPr>
                <w:rFonts w:eastAsia="Times New Roman"/>
                <w:i/>
                <w:lang w:eastAsia="cs-CZ"/>
              </w:rPr>
              <w:t xml:space="preserve"> </w:t>
            </w:r>
            <w:proofErr w:type="spellStart"/>
            <w:r w:rsidR="006949D7">
              <w:rPr>
                <w:rFonts w:eastAsia="Times New Roman"/>
                <w:i/>
                <w:lang w:eastAsia="cs-CZ"/>
              </w:rPr>
              <w:t>zdr</w:t>
            </w:r>
            <w:proofErr w:type="spellEnd"/>
            <w:r w:rsidR="006949D7">
              <w:rPr>
                <w:rFonts w:eastAsia="Times New Roman"/>
                <w:i/>
                <w:lang w:eastAsia="cs-CZ"/>
              </w:rPr>
              <w:t>. Poj.</w:t>
            </w:r>
          </w:p>
          <w:p w14:paraId="79EC5347" w14:textId="3AF84C09" w:rsidR="009A042B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FÚ</w:t>
            </w:r>
            <w:r w:rsidR="006949D7">
              <w:rPr>
                <w:rFonts w:eastAsia="Times New Roman"/>
                <w:i/>
                <w:lang w:eastAsia="cs-CZ"/>
              </w:rPr>
              <w:t xml:space="preserve"> daň zálohová a srážková</w:t>
            </w:r>
          </w:p>
          <w:p w14:paraId="6289C91D" w14:textId="42CE2127" w:rsidR="00940624" w:rsidRDefault="001C369E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SDH, ZŠ a MŠ Nedomice</w:t>
            </w:r>
          </w:p>
          <w:p w14:paraId="14FD93E7" w14:textId="5DEBD5F8" w:rsidR="00D72762" w:rsidRPr="00A70A01" w:rsidRDefault="00D72762" w:rsidP="003725E6">
            <w:pPr>
              <w:rPr>
                <w:rFonts w:eastAsia="Times New Roman"/>
                <w:i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FBFE3" w14:textId="1747E6B9" w:rsidR="005C2DD5" w:rsidRDefault="00940624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2.977</w:t>
            </w:r>
            <w:r w:rsidR="006949D7">
              <w:rPr>
                <w:rFonts w:eastAsia="Times New Roman"/>
                <w:i/>
                <w:lang w:eastAsia="cs-CZ"/>
              </w:rPr>
              <w:t>,</w:t>
            </w:r>
            <w:r>
              <w:rPr>
                <w:rFonts w:eastAsia="Times New Roman"/>
                <w:i/>
                <w:lang w:eastAsia="cs-CZ"/>
              </w:rPr>
              <w:t>00</w:t>
            </w:r>
          </w:p>
          <w:p w14:paraId="60113F6E" w14:textId="7A95FA6E" w:rsidR="00436CF4" w:rsidRDefault="00EC739A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2</w:t>
            </w:r>
            <w:r w:rsidR="00940624">
              <w:rPr>
                <w:rFonts w:eastAsia="Times New Roman"/>
                <w:i/>
                <w:lang w:eastAsia="cs-CZ"/>
              </w:rPr>
              <w:t>2</w:t>
            </w:r>
            <w:r w:rsidR="00A94C2C">
              <w:rPr>
                <w:rFonts w:eastAsia="Times New Roman"/>
                <w:i/>
                <w:lang w:eastAsia="cs-CZ"/>
              </w:rPr>
              <w:t>.</w:t>
            </w:r>
            <w:r w:rsidR="00940624">
              <w:rPr>
                <w:rFonts w:eastAsia="Times New Roman"/>
                <w:i/>
                <w:lang w:eastAsia="cs-CZ"/>
              </w:rPr>
              <w:t>920</w:t>
            </w:r>
            <w:r w:rsidR="00A94C2C">
              <w:rPr>
                <w:rFonts w:eastAsia="Times New Roman"/>
                <w:i/>
                <w:lang w:eastAsia="cs-CZ"/>
              </w:rPr>
              <w:t>,00</w:t>
            </w:r>
          </w:p>
          <w:p w14:paraId="10BB423E" w14:textId="52DA669C" w:rsidR="00D72762" w:rsidRDefault="006949D7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6</w:t>
            </w:r>
            <w:r w:rsidR="00940624">
              <w:rPr>
                <w:rFonts w:eastAsia="Times New Roman"/>
                <w:i/>
                <w:lang w:eastAsia="cs-CZ"/>
              </w:rPr>
              <w:t>9</w:t>
            </w:r>
            <w:r w:rsidR="00A94C2C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1</w:t>
            </w:r>
            <w:r w:rsidR="00940624">
              <w:rPr>
                <w:rFonts w:eastAsia="Times New Roman"/>
                <w:i/>
                <w:lang w:eastAsia="cs-CZ"/>
              </w:rPr>
              <w:t>07</w:t>
            </w:r>
            <w:r w:rsidR="00D72762">
              <w:rPr>
                <w:rFonts w:eastAsia="Times New Roman"/>
                <w:i/>
                <w:lang w:eastAsia="cs-CZ"/>
              </w:rPr>
              <w:t>,00</w:t>
            </w:r>
          </w:p>
          <w:p w14:paraId="7AE911D9" w14:textId="1BE54A5D" w:rsidR="00D72762" w:rsidRDefault="006949D7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22</w:t>
            </w:r>
            <w:r w:rsidR="00A94C2C">
              <w:rPr>
                <w:rFonts w:eastAsia="Times New Roman"/>
                <w:i/>
                <w:lang w:eastAsia="cs-CZ"/>
              </w:rPr>
              <w:t>.</w:t>
            </w:r>
            <w:r w:rsidR="00940624">
              <w:rPr>
                <w:rFonts w:eastAsia="Times New Roman"/>
                <w:i/>
                <w:lang w:eastAsia="cs-CZ"/>
              </w:rPr>
              <w:t>612</w:t>
            </w:r>
            <w:r w:rsidR="00D72762">
              <w:rPr>
                <w:rFonts w:eastAsia="Times New Roman"/>
                <w:i/>
                <w:lang w:eastAsia="cs-CZ"/>
              </w:rPr>
              <w:t>,00</w:t>
            </w:r>
          </w:p>
          <w:p w14:paraId="5A5E9D0E" w14:textId="413ACE64" w:rsidR="009A042B" w:rsidRDefault="006949D7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10</w:t>
            </w:r>
            <w:r w:rsidR="00A94C2C">
              <w:rPr>
                <w:rFonts w:eastAsia="Times New Roman"/>
                <w:i/>
                <w:lang w:eastAsia="cs-CZ"/>
              </w:rPr>
              <w:t>.</w:t>
            </w:r>
            <w:r w:rsidR="00940624">
              <w:rPr>
                <w:rFonts w:eastAsia="Times New Roman"/>
                <w:i/>
                <w:lang w:eastAsia="cs-CZ"/>
              </w:rPr>
              <w:t>768</w:t>
            </w:r>
            <w:r w:rsidR="009A042B">
              <w:rPr>
                <w:rFonts w:eastAsia="Times New Roman"/>
                <w:i/>
                <w:lang w:eastAsia="cs-CZ"/>
              </w:rPr>
              <w:t>,00</w:t>
            </w:r>
          </w:p>
          <w:p w14:paraId="7ABBF939" w14:textId="5AF54130" w:rsidR="00D72762" w:rsidRDefault="00940624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4</w:t>
            </w:r>
            <w:r w:rsidR="00A94C2C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446</w:t>
            </w:r>
            <w:r w:rsidR="00A94C2C">
              <w:rPr>
                <w:rFonts w:eastAsia="Times New Roman"/>
                <w:i/>
                <w:lang w:eastAsia="cs-CZ"/>
              </w:rPr>
              <w:t>,00</w:t>
            </w:r>
          </w:p>
          <w:p w14:paraId="0DD2BE9C" w14:textId="3E3B81D3" w:rsidR="00940624" w:rsidRDefault="001C369E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66.000,00</w:t>
            </w:r>
          </w:p>
          <w:p w14:paraId="11576F0C" w14:textId="77777777" w:rsidR="00D72762" w:rsidRPr="00A70A01" w:rsidRDefault="00A94C2C" w:rsidP="00B45333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10</w:t>
            </w:r>
            <w:r w:rsidR="0022654D">
              <w:rPr>
                <w:rFonts w:eastAsia="Times New Roman"/>
                <w:i/>
                <w:lang w:eastAsia="cs-CZ"/>
              </w:rPr>
              <w:t>0</w:t>
            </w:r>
            <w:r>
              <w:rPr>
                <w:rFonts w:eastAsia="Times New Roman"/>
                <w:i/>
                <w:lang w:eastAsia="cs-CZ"/>
              </w:rPr>
              <w:t>.</w:t>
            </w:r>
            <w:r w:rsidR="0022654D">
              <w:rPr>
                <w:rFonts w:eastAsia="Times New Roman"/>
                <w:i/>
                <w:lang w:eastAsia="cs-CZ"/>
              </w:rPr>
              <w:t>0</w:t>
            </w:r>
            <w:r>
              <w:rPr>
                <w:rFonts w:eastAsia="Times New Roman"/>
                <w:i/>
                <w:lang w:eastAsia="cs-CZ"/>
              </w:rPr>
              <w:t>00</w:t>
            </w:r>
            <w:r w:rsidR="00436CF4">
              <w:rPr>
                <w:rFonts w:eastAsia="Times New Roman"/>
                <w:i/>
                <w:lang w:eastAsia="cs-CZ"/>
              </w:rPr>
              <w:t>,00</w:t>
            </w:r>
          </w:p>
        </w:tc>
      </w:tr>
    </w:tbl>
    <w:p w14:paraId="1037E0B0" w14:textId="77777777" w:rsidR="00B45333" w:rsidRDefault="00B45333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</w:p>
    <w:p w14:paraId="4AB37330" w14:textId="77777777" w:rsidR="00FD0221" w:rsidRPr="00C0776E" w:rsidRDefault="00714387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  <w:r w:rsidRPr="00C0776E">
        <w:rPr>
          <w:b/>
          <w:bCs/>
        </w:rPr>
        <w:t>6</w:t>
      </w:r>
      <w:r w:rsidR="00FD0221" w:rsidRPr="00C0776E">
        <w:rPr>
          <w:b/>
          <w:bCs/>
        </w:rPr>
        <w:t>) Vyúčtování finančních vztahů ke státnímu rozpočtu a ostatním rozpočtům veřejné úrovně</w:t>
      </w:r>
    </w:p>
    <w:p w14:paraId="6156DB91" w14:textId="20E3E92B" w:rsidR="00FD0221" w:rsidRPr="00C0776E" w:rsidRDefault="00FD0221" w:rsidP="00A4125F">
      <w:pPr>
        <w:pStyle w:val="Zkladntext"/>
        <w:tabs>
          <w:tab w:val="left" w:pos="360"/>
        </w:tabs>
        <w:spacing w:line="240" w:lineRule="auto"/>
        <w:jc w:val="both"/>
      </w:pPr>
      <w:r w:rsidRPr="00C0776E">
        <w:t xml:space="preserve">Dotace do rozpočtu obce </w:t>
      </w:r>
      <w:r w:rsidR="0093181B">
        <w:t xml:space="preserve">v </w:t>
      </w:r>
      <w:r w:rsidRPr="00C0776E">
        <w:t>ro</w:t>
      </w:r>
      <w:r w:rsidR="0093181B">
        <w:t>ce</w:t>
      </w:r>
      <w:r w:rsidRPr="00C0776E">
        <w:t xml:space="preserve"> </w:t>
      </w:r>
      <w:r w:rsidR="00FD111C" w:rsidRPr="00C0776E">
        <w:t>20</w:t>
      </w:r>
      <w:r w:rsidR="00152D41">
        <w:t>2</w:t>
      </w:r>
      <w:r w:rsidR="00E45D89">
        <w:t>1</w:t>
      </w:r>
      <w:r w:rsidRPr="00C0776E">
        <w:t xml:space="preserve"> činily celkem</w:t>
      </w:r>
      <w:r w:rsidR="00114517">
        <w:t xml:space="preserve"> </w:t>
      </w:r>
      <w:r w:rsidR="00EC4CF9">
        <w:t>1</w:t>
      </w:r>
      <w:r w:rsidR="00722C41">
        <w:t>.</w:t>
      </w:r>
      <w:r w:rsidR="00EC4CF9">
        <w:t>654</w:t>
      </w:r>
      <w:r w:rsidR="00722C41">
        <w:t>.</w:t>
      </w:r>
      <w:r w:rsidR="00EC4CF9">
        <w:t>178,63</w:t>
      </w:r>
      <w:r w:rsidR="00714387" w:rsidRPr="00C0776E">
        <w:t xml:space="preserve"> Kč</w:t>
      </w:r>
      <w:r w:rsidR="00EC4CF9">
        <w:t xml:space="preserve">, </w:t>
      </w:r>
      <w:r w:rsidRPr="00C0776E">
        <w:t>přijat</w:t>
      </w:r>
      <w:r w:rsidR="00EC4CF9">
        <w:t>é</w:t>
      </w:r>
      <w:r w:rsidRPr="00C0776E">
        <w:t xml:space="preserve"> dotac</w:t>
      </w:r>
      <w:r w:rsidR="00EC4CF9">
        <w:t>e</w:t>
      </w:r>
      <w:r w:rsidRPr="00C0776E">
        <w:t xml:space="preserve"> a čerpání v ro</w:t>
      </w:r>
      <w:r w:rsidR="00EC4CF9">
        <w:t>ce</w:t>
      </w:r>
      <w:r w:rsidRPr="00C0776E">
        <w:t xml:space="preserve"> </w:t>
      </w:r>
      <w:r w:rsidR="00FD111C" w:rsidRPr="00C0776E">
        <w:t>20</w:t>
      </w:r>
      <w:r w:rsidR="00152D41">
        <w:t>2</w:t>
      </w:r>
      <w:r w:rsidR="00EC4CF9">
        <w:t>1</w:t>
      </w:r>
      <w:r w:rsidR="00E1603D">
        <w:t xml:space="preserve"> </w:t>
      </w:r>
      <w:r w:rsidRPr="00C0776E">
        <w:t xml:space="preserve">je v tabulce. </w:t>
      </w:r>
      <w:r w:rsidR="00EC4CF9">
        <w:t>K</w:t>
      </w:r>
      <w:r w:rsidR="009E498A">
        <w:t>rajské dotace byly vyčerpány</w:t>
      </w:r>
      <w:r w:rsidR="00C7089E">
        <w:t xml:space="preserve"> v roce 2020</w:t>
      </w:r>
      <w:r w:rsidR="009E498A">
        <w:t xml:space="preserve">, smlouvy podepsány a dotace </w:t>
      </w:r>
      <w:r w:rsidR="00C7089E">
        <w:t>přijaty</w:t>
      </w:r>
      <w:r w:rsidR="009E498A">
        <w:t xml:space="preserve"> v 1.</w:t>
      </w:r>
      <w:r w:rsidR="00C7089E">
        <w:t>Q</w:t>
      </w:r>
      <w:r w:rsidR="009E498A">
        <w:t>. roku 2021.</w:t>
      </w:r>
      <w:r w:rsidR="00960085">
        <w:t xml:space="preserve"> </w:t>
      </w:r>
      <w:r w:rsidR="00EC4CF9">
        <w:t>V 1.</w:t>
      </w:r>
      <w:r w:rsidR="00936EBF">
        <w:t>Q</w:t>
      </w:r>
      <w:r w:rsidR="00EC4CF9">
        <w:t>. 2021 d</w:t>
      </w:r>
      <w:r w:rsidR="00960085">
        <w:t>ošlo k vrat</w:t>
      </w:r>
      <w:r w:rsidR="00EC4CF9">
        <w:t>ce</w:t>
      </w:r>
      <w:r w:rsidR="00960085">
        <w:t xml:space="preserve"> </w:t>
      </w:r>
      <w:r w:rsidR="00936EBF">
        <w:t xml:space="preserve">přeplatku </w:t>
      </w:r>
      <w:r w:rsidR="00960085">
        <w:t xml:space="preserve">dotace </w:t>
      </w:r>
      <w:r w:rsidR="00EC4CF9">
        <w:t>D</w:t>
      </w:r>
      <w:r w:rsidR="00960085">
        <w:t xml:space="preserve">SO </w:t>
      </w:r>
      <w:proofErr w:type="spellStart"/>
      <w:r w:rsidR="00960085">
        <w:t>Cecemínsko</w:t>
      </w:r>
      <w:proofErr w:type="spellEnd"/>
      <w:r w:rsidR="00EC4CF9">
        <w:t xml:space="preserve"> v </w:t>
      </w:r>
      <w:r w:rsidR="00960085">
        <w:t>část</w:t>
      </w:r>
      <w:r w:rsidR="00EC4CF9">
        <w:t>ce</w:t>
      </w:r>
      <w:r w:rsidR="00960085">
        <w:t xml:space="preserve"> 422.073,95 Kč.</w:t>
      </w:r>
      <w:r w:rsidR="00EC4CF9">
        <w:t xml:space="preserve"> </w:t>
      </w:r>
      <w:r w:rsidR="00936EBF">
        <w:t>Poslední dvě investiční dotace od IROP a MMR jsou vyčerpány a vyúčtovány, budou proplaceny v roce 2022.</w:t>
      </w:r>
    </w:p>
    <w:p w14:paraId="1EBDF60E" w14:textId="681F589F" w:rsidR="00540758" w:rsidRPr="00C0776E" w:rsidRDefault="00540758" w:rsidP="00A4125F">
      <w:pPr>
        <w:pStyle w:val="Zkladntext"/>
        <w:tabs>
          <w:tab w:val="left" w:pos="360"/>
        </w:tabs>
        <w:spacing w:line="240" w:lineRule="auto"/>
        <w:jc w:val="both"/>
      </w:pPr>
    </w:p>
    <w:tbl>
      <w:tblPr>
        <w:tblW w:w="948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  <w:gridCol w:w="740"/>
        <w:gridCol w:w="941"/>
        <w:gridCol w:w="1559"/>
        <w:gridCol w:w="1486"/>
      </w:tblGrid>
      <w:tr w:rsidR="008128F8" w:rsidRPr="00C0776E" w14:paraId="7F0B18B1" w14:textId="77777777" w:rsidTr="00D92654">
        <w:trPr>
          <w:trHeight w:val="255"/>
        </w:trPr>
        <w:tc>
          <w:tcPr>
            <w:tcW w:w="4760" w:type="dxa"/>
            <w:shd w:val="clear" w:color="auto" w:fill="auto"/>
            <w:noWrap/>
            <w:vAlign w:val="bottom"/>
          </w:tcPr>
          <w:p w14:paraId="0C525C11" w14:textId="77777777" w:rsidR="008128F8" w:rsidRPr="00C0776E" w:rsidRDefault="00E1603D" w:rsidP="00FD0221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Ú</w:t>
            </w:r>
            <w:r w:rsidR="008128F8" w:rsidRPr="00C0776E">
              <w:rPr>
                <w:b/>
                <w:bCs/>
              </w:rPr>
              <w:t>čel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4EA2A821" w14:textId="77777777" w:rsidR="008128F8" w:rsidRPr="00C0776E" w:rsidRDefault="008128F8" w:rsidP="00FD0221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ÚZ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5118DD6B" w14:textId="77777777" w:rsidR="008128F8" w:rsidRPr="00C0776E" w:rsidRDefault="008128F8" w:rsidP="00FD0221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položka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F32D22" w14:textId="38AD04DB" w:rsidR="008128F8" w:rsidRPr="00C0776E" w:rsidRDefault="00152D41" w:rsidP="00FD0221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P</w:t>
            </w:r>
            <w:r w:rsidR="008128F8" w:rsidRPr="00C0776E">
              <w:rPr>
                <w:b/>
                <w:bCs/>
              </w:rPr>
              <w:t>řijato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29175455" w14:textId="688B64E4" w:rsidR="008128F8" w:rsidRPr="00C0776E" w:rsidRDefault="009E498A" w:rsidP="00263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8128F8" w:rsidRPr="00C0776E">
              <w:rPr>
                <w:b/>
                <w:bCs/>
              </w:rPr>
              <w:t>yčerpáno</w:t>
            </w:r>
          </w:p>
        </w:tc>
      </w:tr>
      <w:tr w:rsidR="008128F8" w:rsidRPr="00C0776E" w14:paraId="26A6B76A" w14:textId="77777777" w:rsidTr="00D92654">
        <w:trPr>
          <w:trHeight w:val="255"/>
        </w:trPr>
        <w:tc>
          <w:tcPr>
            <w:tcW w:w="4760" w:type="dxa"/>
            <w:shd w:val="clear" w:color="auto" w:fill="auto"/>
            <w:noWrap/>
            <w:vAlign w:val="bottom"/>
          </w:tcPr>
          <w:p w14:paraId="67BF3A01" w14:textId="59A7D081" w:rsidR="008128F8" w:rsidRPr="00C0776E" w:rsidRDefault="00D76251" w:rsidP="00FD0221">
            <w:r>
              <w:t>Operační program</w:t>
            </w:r>
            <w:r w:rsidR="00C0776E">
              <w:t xml:space="preserve"> zaměst</w:t>
            </w:r>
            <w:r>
              <w:t>nanost</w:t>
            </w:r>
            <w:r w:rsidR="006D601B">
              <w:t xml:space="preserve"> ÚP</w:t>
            </w:r>
            <w:r w:rsidR="00DA7243">
              <w:t xml:space="preserve"> VPP 20</w:t>
            </w:r>
            <w:r w:rsidR="0080020C">
              <w:t>2</w:t>
            </w:r>
            <w:r w:rsidR="00B57A6F"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2E21345F" w14:textId="1F2EA8A9" w:rsidR="008128F8" w:rsidRPr="00C0776E" w:rsidRDefault="008128F8" w:rsidP="00DA7243">
            <w:pPr>
              <w:jc w:val="center"/>
            </w:pPr>
            <w:r w:rsidRPr="00C0776E">
              <w:t>13</w:t>
            </w:r>
            <w:r w:rsidR="0080020C">
              <w:t>013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4AE2EB97" w14:textId="77777777" w:rsidR="008128F8" w:rsidRPr="00C0776E" w:rsidRDefault="008128F8" w:rsidP="004015DD">
            <w:pPr>
              <w:jc w:val="center"/>
            </w:pPr>
            <w:r w:rsidRPr="00C0776E">
              <w:t>4116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74D9D7" w14:textId="0FFEFDA8" w:rsidR="008128F8" w:rsidRPr="00C0776E" w:rsidRDefault="00FC7EF7" w:rsidP="00922526">
            <w:pPr>
              <w:jc w:val="right"/>
            </w:pPr>
            <w:r>
              <w:t>1</w:t>
            </w:r>
            <w:r w:rsidR="009B2B6C">
              <w:t>0</w:t>
            </w:r>
            <w:r>
              <w:t>5</w:t>
            </w:r>
            <w:r w:rsidR="00114517">
              <w:t>.000</w:t>
            </w:r>
            <w:r w:rsidR="008128F8" w:rsidRPr="00C0776E">
              <w:t>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63D61313" w14:textId="4A99394A" w:rsidR="008128F8" w:rsidRPr="00C0776E" w:rsidRDefault="00FC7EF7" w:rsidP="00922526">
            <w:pPr>
              <w:jc w:val="right"/>
            </w:pPr>
            <w:r>
              <w:t>1</w:t>
            </w:r>
            <w:r w:rsidR="009B2B6C">
              <w:t>0</w:t>
            </w:r>
            <w:r>
              <w:t>5</w:t>
            </w:r>
            <w:r w:rsidR="00114517">
              <w:t>.000</w:t>
            </w:r>
            <w:r w:rsidR="008128F8" w:rsidRPr="00C0776E">
              <w:t>,00</w:t>
            </w:r>
          </w:p>
        </w:tc>
      </w:tr>
      <w:tr w:rsidR="008128F8" w:rsidRPr="00C0776E" w14:paraId="424F1381" w14:textId="77777777" w:rsidTr="00D92654">
        <w:trPr>
          <w:trHeight w:val="255"/>
        </w:trPr>
        <w:tc>
          <w:tcPr>
            <w:tcW w:w="4760" w:type="dxa"/>
            <w:shd w:val="clear" w:color="auto" w:fill="auto"/>
            <w:noWrap/>
            <w:vAlign w:val="bottom"/>
          </w:tcPr>
          <w:p w14:paraId="4692536E" w14:textId="5781F746" w:rsidR="008128F8" w:rsidRPr="00C0776E" w:rsidRDefault="00152C11" w:rsidP="001D54BE">
            <w:r>
              <w:t>Účelová</w:t>
            </w:r>
            <w:r w:rsidR="00D76251">
              <w:t xml:space="preserve"> </w:t>
            </w:r>
            <w:r w:rsidR="002F0F3F">
              <w:t>dotace</w:t>
            </w:r>
            <w:r w:rsidR="00D76251">
              <w:t xml:space="preserve"> </w:t>
            </w:r>
            <w:r>
              <w:t xml:space="preserve">na </w:t>
            </w:r>
            <w:r w:rsidR="001D54BE">
              <w:t>volby</w:t>
            </w:r>
            <w:r w:rsidR="00114517">
              <w:t xml:space="preserve"> </w:t>
            </w:r>
            <w:r w:rsidR="0080020C">
              <w:t xml:space="preserve">do </w:t>
            </w:r>
            <w:r w:rsidR="00FC7EF7">
              <w:t>PSP ČR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76978D22" w14:textId="2055526F" w:rsidR="008128F8" w:rsidRPr="00C0776E" w:rsidRDefault="002F0F3F" w:rsidP="008A109D">
            <w:pPr>
              <w:jc w:val="center"/>
            </w:pPr>
            <w:r>
              <w:t>9</w:t>
            </w:r>
            <w:r w:rsidR="001D54BE">
              <w:t>8</w:t>
            </w:r>
            <w:r w:rsidR="00FC7EF7">
              <w:t>071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2F0E39F4" w14:textId="77777777" w:rsidR="008128F8" w:rsidRPr="00C0776E" w:rsidRDefault="008128F8" w:rsidP="001D54BE">
            <w:pPr>
              <w:jc w:val="center"/>
            </w:pPr>
            <w:r w:rsidRPr="00C0776E">
              <w:t>411</w:t>
            </w:r>
            <w:r w:rsidR="001D54BE"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D20EFF" w14:textId="605B16C5" w:rsidR="008128F8" w:rsidRPr="00C0776E" w:rsidRDefault="0080020C" w:rsidP="00922526">
            <w:pPr>
              <w:jc w:val="right"/>
            </w:pPr>
            <w:r>
              <w:t>31</w:t>
            </w:r>
            <w:r w:rsidR="009B2B6C">
              <w:t>.000</w:t>
            </w:r>
            <w:r w:rsidR="008128F8" w:rsidRPr="00C0776E">
              <w:t>,</w:t>
            </w:r>
            <w:r w:rsidR="00237EF4">
              <w:t>0</w:t>
            </w:r>
            <w:r w:rsidR="008128F8" w:rsidRPr="00C0776E">
              <w:t>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48961FCF" w14:textId="273BE79C" w:rsidR="008128F8" w:rsidRPr="00C0776E" w:rsidRDefault="00722C41" w:rsidP="00922526">
            <w:pPr>
              <w:jc w:val="right"/>
            </w:pPr>
            <w:r>
              <w:t>1</w:t>
            </w:r>
            <w:r w:rsidR="009B2B6C">
              <w:t>5</w:t>
            </w:r>
            <w:r>
              <w:t>.</w:t>
            </w:r>
            <w:r w:rsidR="00190F3E">
              <w:t>404</w:t>
            </w:r>
            <w:r>
              <w:t>,0</w:t>
            </w:r>
            <w:r w:rsidR="00114517">
              <w:t>0</w:t>
            </w:r>
            <w:r w:rsidR="008128F8" w:rsidRPr="00C0776E">
              <w:t xml:space="preserve"> </w:t>
            </w:r>
          </w:p>
        </w:tc>
      </w:tr>
      <w:tr w:rsidR="008128F8" w:rsidRPr="00C0776E" w14:paraId="55FFED33" w14:textId="77777777" w:rsidTr="00D92654">
        <w:trPr>
          <w:trHeight w:val="255"/>
        </w:trPr>
        <w:tc>
          <w:tcPr>
            <w:tcW w:w="4760" w:type="dxa"/>
            <w:shd w:val="clear" w:color="auto" w:fill="auto"/>
            <w:noWrap/>
            <w:vAlign w:val="bottom"/>
          </w:tcPr>
          <w:p w14:paraId="6EAC0464" w14:textId="0D0EF7A0" w:rsidR="008128F8" w:rsidRPr="00C0776E" w:rsidRDefault="0080020C" w:rsidP="009D40A6">
            <w:r>
              <w:t xml:space="preserve">Kompenzační bonus pro obce </w:t>
            </w:r>
            <w:r w:rsidR="004220EE">
              <w:t>(SARS Cov-2)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583169F0" w14:textId="14C8A475" w:rsidR="008128F8" w:rsidRPr="00C0776E" w:rsidRDefault="0080020C" w:rsidP="00F055CE">
            <w:pPr>
              <w:jc w:val="center"/>
            </w:pPr>
            <w:r>
              <w:t>980</w:t>
            </w:r>
            <w:r w:rsidR="00190F3E">
              <w:t>37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7AB9EE88" w14:textId="092891DA" w:rsidR="008128F8" w:rsidRPr="00C0776E" w:rsidRDefault="00114517" w:rsidP="00922526">
            <w:pPr>
              <w:jc w:val="center"/>
            </w:pPr>
            <w:r>
              <w:t>411</w:t>
            </w:r>
            <w:r w:rsidR="0080020C"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00C926" w14:textId="52403C65" w:rsidR="008128F8" w:rsidRPr="00C0776E" w:rsidRDefault="00437B83" w:rsidP="00922526">
            <w:pPr>
              <w:jc w:val="right"/>
            </w:pPr>
            <w:r>
              <w:t>69.639,56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1B318675" w14:textId="720BA01A" w:rsidR="008128F8" w:rsidRPr="00C0776E" w:rsidRDefault="00437B83" w:rsidP="00922526">
            <w:pPr>
              <w:jc w:val="right"/>
            </w:pPr>
            <w:r>
              <w:t>69.639,56</w:t>
            </w:r>
          </w:p>
        </w:tc>
      </w:tr>
      <w:tr w:rsidR="004015DD" w:rsidRPr="00C0776E" w14:paraId="3FD01866" w14:textId="77777777" w:rsidTr="00D92654">
        <w:trPr>
          <w:trHeight w:val="270"/>
        </w:trPr>
        <w:tc>
          <w:tcPr>
            <w:tcW w:w="4760" w:type="dxa"/>
            <w:shd w:val="clear" w:color="auto" w:fill="auto"/>
            <w:noWrap/>
            <w:vAlign w:val="bottom"/>
          </w:tcPr>
          <w:p w14:paraId="563BAE4B" w14:textId="0CB54A85" w:rsidR="004015DD" w:rsidRPr="004015DD" w:rsidRDefault="004015DD" w:rsidP="00FD0221">
            <w:pPr>
              <w:rPr>
                <w:bCs/>
              </w:rPr>
            </w:pPr>
            <w:r>
              <w:rPr>
                <w:bCs/>
              </w:rPr>
              <w:t>S</w:t>
            </w:r>
            <w:r w:rsidR="0070159D">
              <w:rPr>
                <w:bCs/>
              </w:rPr>
              <w:t>DV</w:t>
            </w:r>
            <w:r w:rsidR="00114517">
              <w:rPr>
                <w:bCs/>
              </w:rPr>
              <w:t xml:space="preserve"> </w:t>
            </w:r>
            <w:r w:rsidR="009B2B6C">
              <w:rPr>
                <w:bCs/>
              </w:rPr>
              <w:t>–</w:t>
            </w:r>
            <w:r w:rsidR="006D601B">
              <w:rPr>
                <w:bCs/>
              </w:rPr>
              <w:t xml:space="preserve"> </w:t>
            </w:r>
            <w:r w:rsidR="00114517">
              <w:rPr>
                <w:bCs/>
              </w:rPr>
              <w:t>KUSK</w:t>
            </w:r>
            <w:r w:rsidR="0070159D">
              <w:rPr>
                <w:bCs/>
              </w:rPr>
              <w:t xml:space="preserve"> </w:t>
            </w:r>
            <w:proofErr w:type="spellStart"/>
            <w:r w:rsidR="0070159D">
              <w:rPr>
                <w:bCs/>
              </w:rPr>
              <w:t>přísp</w:t>
            </w:r>
            <w:proofErr w:type="spellEnd"/>
            <w:r w:rsidR="0070159D">
              <w:rPr>
                <w:bCs/>
              </w:rPr>
              <w:t>. na přenesenou působnost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4A9A5B3F" w14:textId="77777777" w:rsidR="004015DD" w:rsidRPr="00C0776E" w:rsidRDefault="004015DD" w:rsidP="00FD0221"/>
        </w:tc>
        <w:tc>
          <w:tcPr>
            <w:tcW w:w="941" w:type="dxa"/>
            <w:shd w:val="clear" w:color="auto" w:fill="auto"/>
            <w:noWrap/>
            <w:vAlign w:val="bottom"/>
          </w:tcPr>
          <w:p w14:paraId="1EAB5E39" w14:textId="77777777" w:rsidR="004015DD" w:rsidRPr="00C0776E" w:rsidRDefault="004015DD" w:rsidP="004015DD">
            <w:pPr>
              <w:jc w:val="center"/>
            </w:pPr>
            <w:r>
              <w:t>4112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4A7E7C" w14:textId="4544DC06" w:rsidR="004015DD" w:rsidRPr="004015DD" w:rsidRDefault="0080020C" w:rsidP="00922526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CE6521">
              <w:rPr>
                <w:bCs/>
              </w:rPr>
              <w:t>3</w:t>
            </w:r>
            <w:r w:rsidR="00B755F0">
              <w:rPr>
                <w:bCs/>
              </w:rPr>
              <w:t>.</w:t>
            </w:r>
            <w:r w:rsidR="00CE6521">
              <w:rPr>
                <w:bCs/>
              </w:rPr>
              <w:t>3</w:t>
            </w:r>
            <w:r w:rsidR="00B755F0">
              <w:rPr>
                <w:bCs/>
              </w:rPr>
              <w:t>00</w:t>
            </w:r>
            <w:r w:rsidR="00114517">
              <w:rPr>
                <w:bCs/>
              </w:rPr>
              <w:t>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57E3235A" w14:textId="598F3040" w:rsidR="004015DD" w:rsidRPr="004015DD" w:rsidRDefault="0080020C" w:rsidP="00922526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CE6521">
              <w:rPr>
                <w:bCs/>
              </w:rPr>
              <w:t>3</w:t>
            </w:r>
            <w:r w:rsidR="00114517">
              <w:rPr>
                <w:bCs/>
              </w:rPr>
              <w:t>.</w:t>
            </w:r>
            <w:r w:rsidR="00CE6521">
              <w:rPr>
                <w:bCs/>
              </w:rPr>
              <w:t>3</w:t>
            </w:r>
            <w:r w:rsidR="00114517">
              <w:rPr>
                <w:bCs/>
              </w:rPr>
              <w:t>00,00</w:t>
            </w:r>
          </w:p>
        </w:tc>
      </w:tr>
      <w:tr w:rsidR="003654AE" w:rsidRPr="00C0776E" w14:paraId="26ECA69F" w14:textId="77777777" w:rsidTr="00D92654">
        <w:trPr>
          <w:trHeight w:val="270"/>
        </w:trPr>
        <w:tc>
          <w:tcPr>
            <w:tcW w:w="4760" w:type="dxa"/>
            <w:shd w:val="clear" w:color="auto" w:fill="auto"/>
            <w:noWrap/>
            <w:vAlign w:val="bottom"/>
          </w:tcPr>
          <w:p w14:paraId="6111A2CC" w14:textId="3DBC9CA0" w:rsidR="003654AE" w:rsidRDefault="003654AE" w:rsidP="00FD0221">
            <w:pPr>
              <w:rPr>
                <w:bCs/>
              </w:rPr>
            </w:pPr>
            <w:r>
              <w:rPr>
                <w:bCs/>
              </w:rPr>
              <w:t xml:space="preserve">Obec </w:t>
            </w:r>
            <w:r w:rsidRPr="003654AE">
              <w:rPr>
                <w:bCs/>
              </w:rPr>
              <w:t xml:space="preserve">Ovčáry </w:t>
            </w:r>
            <w:r w:rsidRPr="003654AE">
              <w:rPr>
                <w:rFonts w:eastAsia="Times New Roman"/>
                <w:lang w:eastAsia="cs-CZ"/>
              </w:rPr>
              <w:t>– příspěvek na školu</w:t>
            </w:r>
            <w:r w:rsidR="0070159D">
              <w:rPr>
                <w:rFonts w:eastAsia="Times New Roman"/>
                <w:lang w:eastAsia="cs-CZ"/>
              </w:rPr>
              <w:t xml:space="preserve"> 20</w:t>
            </w:r>
            <w:r w:rsidR="00CE6521">
              <w:rPr>
                <w:rFonts w:eastAsia="Times New Roman"/>
                <w:lang w:eastAsia="cs-CZ"/>
              </w:rPr>
              <w:t>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7C9F6377" w14:textId="77777777" w:rsidR="003654AE" w:rsidRDefault="003654AE" w:rsidP="00152D41">
            <w:pPr>
              <w:jc w:val="right"/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09B7DA00" w14:textId="35862ED4" w:rsidR="003654AE" w:rsidRDefault="003654AE" w:rsidP="004015DD">
            <w:pPr>
              <w:jc w:val="center"/>
            </w:pPr>
            <w:r>
              <w:t>4121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32D896" w14:textId="5B63CEDC" w:rsidR="003654AE" w:rsidRDefault="00CE6521" w:rsidP="00922526">
            <w:pPr>
              <w:jc w:val="right"/>
              <w:rPr>
                <w:bCs/>
              </w:rPr>
            </w:pPr>
            <w:r>
              <w:rPr>
                <w:bCs/>
              </w:rPr>
              <w:t>148</w:t>
            </w:r>
            <w:r w:rsidR="003654AE">
              <w:rPr>
                <w:bCs/>
              </w:rPr>
              <w:t>.63</w:t>
            </w:r>
            <w:r>
              <w:rPr>
                <w:bCs/>
              </w:rPr>
              <w:t>0</w:t>
            </w:r>
            <w:r w:rsidR="003654AE">
              <w:rPr>
                <w:bCs/>
              </w:rPr>
              <w:t>,0</w:t>
            </w:r>
            <w:r>
              <w:rPr>
                <w:bCs/>
              </w:rPr>
              <w:t>7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52ABE13C" w14:textId="1138B604" w:rsidR="003654AE" w:rsidRDefault="00CE6521" w:rsidP="00922526">
            <w:pPr>
              <w:jc w:val="right"/>
              <w:rPr>
                <w:bCs/>
              </w:rPr>
            </w:pPr>
            <w:r>
              <w:rPr>
                <w:bCs/>
              </w:rPr>
              <w:t>148</w:t>
            </w:r>
            <w:r w:rsidR="003654AE">
              <w:rPr>
                <w:bCs/>
              </w:rPr>
              <w:t>.63</w:t>
            </w:r>
            <w:r>
              <w:rPr>
                <w:bCs/>
              </w:rPr>
              <w:t>0</w:t>
            </w:r>
            <w:r w:rsidR="003654AE">
              <w:rPr>
                <w:bCs/>
              </w:rPr>
              <w:t>,0</w:t>
            </w:r>
            <w:r>
              <w:rPr>
                <w:bCs/>
              </w:rPr>
              <w:t>7</w:t>
            </w:r>
          </w:p>
        </w:tc>
      </w:tr>
      <w:tr w:rsidR="003654AE" w:rsidRPr="00C0776E" w14:paraId="1D822C38" w14:textId="77777777" w:rsidTr="00D92654">
        <w:trPr>
          <w:trHeight w:val="270"/>
        </w:trPr>
        <w:tc>
          <w:tcPr>
            <w:tcW w:w="4760" w:type="dxa"/>
            <w:shd w:val="clear" w:color="auto" w:fill="auto"/>
            <w:noWrap/>
            <w:vAlign w:val="bottom"/>
          </w:tcPr>
          <w:p w14:paraId="6A942405" w14:textId="09C2BEA7" w:rsidR="003654AE" w:rsidRPr="003654AE" w:rsidRDefault="003654AE" w:rsidP="00FD0221">
            <w:pPr>
              <w:rPr>
                <w:bCs/>
              </w:rPr>
            </w:pPr>
            <w:r>
              <w:rPr>
                <w:bCs/>
              </w:rPr>
              <w:t xml:space="preserve">DSO </w:t>
            </w:r>
            <w:proofErr w:type="spellStart"/>
            <w:r>
              <w:rPr>
                <w:bCs/>
              </w:rPr>
              <w:t>Cecemínsko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rFonts w:eastAsia="Times New Roman"/>
                <w:i/>
                <w:iCs/>
                <w:lang w:eastAsia="cs-CZ"/>
              </w:rPr>
              <w:t xml:space="preserve">– </w:t>
            </w:r>
            <w:r>
              <w:rPr>
                <w:rFonts w:eastAsia="Times New Roman"/>
                <w:lang w:eastAsia="cs-CZ"/>
              </w:rPr>
              <w:t>5.ŽoP vratka dotace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5036C854" w14:textId="77777777" w:rsidR="003654AE" w:rsidRDefault="003654AE" w:rsidP="00152D41">
            <w:pPr>
              <w:jc w:val="right"/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60B029A9" w14:textId="3DE332BE" w:rsidR="003654AE" w:rsidRDefault="003654AE" w:rsidP="004015DD">
            <w:pPr>
              <w:jc w:val="center"/>
            </w:pPr>
            <w:r>
              <w:t>4129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3B2EDB" w14:textId="17C35957" w:rsidR="003654AE" w:rsidRDefault="00E45D89" w:rsidP="00922526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36816811" w14:textId="48E7EDA6" w:rsidR="003654AE" w:rsidRDefault="00E45D89" w:rsidP="00922526">
            <w:pPr>
              <w:jc w:val="right"/>
              <w:rPr>
                <w:bCs/>
              </w:rPr>
            </w:pPr>
            <w:r>
              <w:rPr>
                <w:bCs/>
              </w:rPr>
              <w:t>422</w:t>
            </w:r>
            <w:r w:rsidR="00802527">
              <w:rPr>
                <w:bCs/>
              </w:rPr>
              <w:t>.</w:t>
            </w:r>
            <w:r>
              <w:rPr>
                <w:bCs/>
              </w:rPr>
              <w:t>073</w:t>
            </w:r>
            <w:r w:rsidR="00802527">
              <w:rPr>
                <w:bCs/>
              </w:rPr>
              <w:t>,</w:t>
            </w:r>
            <w:r>
              <w:rPr>
                <w:bCs/>
              </w:rPr>
              <w:t>95</w:t>
            </w:r>
          </w:p>
        </w:tc>
      </w:tr>
      <w:tr w:rsidR="00D92654" w:rsidRPr="00C0776E" w14:paraId="7EF258C8" w14:textId="77777777" w:rsidTr="00D92654">
        <w:trPr>
          <w:trHeight w:val="255"/>
        </w:trPr>
        <w:tc>
          <w:tcPr>
            <w:tcW w:w="4760" w:type="dxa"/>
            <w:shd w:val="clear" w:color="auto" w:fill="auto"/>
            <w:noWrap/>
            <w:vAlign w:val="bottom"/>
          </w:tcPr>
          <w:p w14:paraId="54F8088F" w14:textId="77777777" w:rsidR="00D92654" w:rsidRPr="00C0776E" w:rsidRDefault="00D92654" w:rsidP="00C0733A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lastRenderedPageBreak/>
              <w:t>Účel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4A6D4691" w14:textId="77777777" w:rsidR="00D92654" w:rsidRPr="00C0776E" w:rsidRDefault="00D92654" w:rsidP="00C0733A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ÚZ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5D3902BD" w14:textId="77777777" w:rsidR="00D92654" w:rsidRPr="00C0776E" w:rsidRDefault="00D92654" w:rsidP="00C0733A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položka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2AF33C" w14:textId="77777777" w:rsidR="00D92654" w:rsidRPr="00C0776E" w:rsidRDefault="00D92654" w:rsidP="00C0733A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Přijato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5DC2382F" w14:textId="77777777" w:rsidR="00D92654" w:rsidRPr="00C0776E" w:rsidRDefault="00D92654" w:rsidP="00C07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C0776E">
              <w:rPr>
                <w:b/>
                <w:bCs/>
              </w:rPr>
              <w:t>yčerpáno</w:t>
            </w:r>
          </w:p>
        </w:tc>
      </w:tr>
      <w:tr w:rsidR="00152D41" w:rsidRPr="00C0776E" w14:paraId="51AE5C9F" w14:textId="77777777" w:rsidTr="00D92654">
        <w:trPr>
          <w:trHeight w:val="270"/>
        </w:trPr>
        <w:tc>
          <w:tcPr>
            <w:tcW w:w="4760" w:type="dxa"/>
            <w:shd w:val="clear" w:color="auto" w:fill="auto"/>
            <w:noWrap/>
            <w:vAlign w:val="bottom"/>
          </w:tcPr>
          <w:p w14:paraId="3DB50466" w14:textId="761D0A50" w:rsidR="00152D41" w:rsidRDefault="00152D41" w:rsidP="00FD0221">
            <w:pPr>
              <w:rPr>
                <w:bCs/>
              </w:rPr>
            </w:pPr>
            <w:r>
              <w:rPr>
                <w:bCs/>
              </w:rPr>
              <w:t>Nei</w:t>
            </w:r>
            <w:r w:rsidR="00D76251">
              <w:rPr>
                <w:bCs/>
              </w:rPr>
              <w:t xml:space="preserve">nvestiční </w:t>
            </w:r>
            <w:r>
              <w:rPr>
                <w:bCs/>
              </w:rPr>
              <w:t>dotace kraj – oprava podlah</w:t>
            </w:r>
            <w:r w:rsidR="00D76251">
              <w:rPr>
                <w:bCs/>
              </w:rPr>
              <w:t>y</w:t>
            </w:r>
            <w:r>
              <w:rPr>
                <w:bCs/>
              </w:rPr>
              <w:t xml:space="preserve"> MŠ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6476849C" w14:textId="03BD89BC" w:rsidR="00152D41" w:rsidRPr="00C0776E" w:rsidRDefault="00D97E21" w:rsidP="00152D41">
            <w:pPr>
              <w:jc w:val="right"/>
            </w:pPr>
            <w:r>
              <w:t>00</w:t>
            </w:r>
            <w:r w:rsidR="00152D41">
              <w:t>812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31CA406C" w14:textId="026470ED" w:rsidR="00152D41" w:rsidRDefault="00152D41" w:rsidP="004015DD">
            <w:pPr>
              <w:jc w:val="center"/>
            </w:pPr>
            <w:r>
              <w:t>4122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162A5B" w14:textId="27074C91" w:rsidR="00152D41" w:rsidRDefault="008350C5" w:rsidP="00922526">
            <w:pPr>
              <w:jc w:val="right"/>
              <w:rPr>
                <w:bCs/>
              </w:rPr>
            </w:pPr>
            <w:r>
              <w:rPr>
                <w:bCs/>
              </w:rPr>
              <w:t>121.822,0</w:t>
            </w:r>
            <w:r w:rsidR="00152D41">
              <w:rPr>
                <w:bCs/>
              </w:rPr>
              <w:t>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6863A498" w14:textId="64376FEC" w:rsidR="00152D41" w:rsidRDefault="008350C5" w:rsidP="00922526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152D41">
              <w:rPr>
                <w:bCs/>
              </w:rPr>
              <w:t>,00</w:t>
            </w:r>
          </w:p>
        </w:tc>
      </w:tr>
      <w:tr w:rsidR="00152D41" w:rsidRPr="00C0776E" w14:paraId="7413A8BE" w14:textId="77777777" w:rsidTr="00D92654">
        <w:trPr>
          <w:trHeight w:val="270"/>
        </w:trPr>
        <w:tc>
          <w:tcPr>
            <w:tcW w:w="4760" w:type="dxa"/>
            <w:shd w:val="clear" w:color="auto" w:fill="auto"/>
            <w:noWrap/>
            <w:vAlign w:val="bottom"/>
          </w:tcPr>
          <w:p w14:paraId="28AFD3BE" w14:textId="0BF3E789" w:rsidR="00152D41" w:rsidRDefault="00152D41" w:rsidP="00FD0221">
            <w:pPr>
              <w:rPr>
                <w:bCs/>
              </w:rPr>
            </w:pPr>
            <w:r>
              <w:rPr>
                <w:bCs/>
              </w:rPr>
              <w:t>Invest</w:t>
            </w:r>
            <w:r w:rsidR="00D76251">
              <w:rPr>
                <w:bCs/>
              </w:rPr>
              <w:t>iční</w:t>
            </w:r>
            <w:r>
              <w:rPr>
                <w:bCs/>
              </w:rPr>
              <w:t xml:space="preserve"> dotace kraj – </w:t>
            </w:r>
            <w:r w:rsidR="00D76251">
              <w:rPr>
                <w:bCs/>
              </w:rPr>
              <w:t>revitalizace</w:t>
            </w:r>
            <w:r>
              <w:rPr>
                <w:bCs/>
              </w:rPr>
              <w:t xml:space="preserve"> rozhlas</w:t>
            </w:r>
            <w:r w:rsidR="00D76251">
              <w:rPr>
                <w:bCs/>
              </w:rPr>
              <w:t>u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7C5AF24B" w14:textId="1F8EAC0B" w:rsidR="00152D41" w:rsidRPr="00C0776E" w:rsidRDefault="00D97E21" w:rsidP="00540758">
            <w:pPr>
              <w:jc w:val="right"/>
            </w:pPr>
            <w:r>
              <w:t>00</w:t>
            </w:r>
            <w:r w:rsidR="00152D41">
              <w:t>812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480E1205" w14:textId="5EA1EFFC" w:rsidR="00152D41" w:rsidRDefault="00152D41" w:rsidP="004015DD">
            <w:pPr>
              <w:jc w:val="center"/>
            </w:pPr>
            <w:r>
              <w:t>4222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D61D82" w14:textId="54AD5C0A" w:rsidR="00152D41" w:rsidRDefault="00190F3E" w:rsidP="00922526">
            <w:pPr>
              <w:jc w:val="right"/>
              <w:rPr>
                <w:bCs/>
              </w:rPr>
            </w:pPr>
            <w:r>
              <w:rPr>
                <w:bCs/>
              </w:rPr>
              <w:t>191.178,0</w:t>
            </w:r>
            <w:r w:rsidR="00152D41">
              <w:rPr>
                <w:bCs/>
              </w:rPr>
              <w:t>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5737004F" w14:textId="6C9AF475" w:rsidR="00152D41" w:rsidRDefault="00190F3E" w:rsidP="00922526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152D41">
              <w:rPr>
                <w:bCs/>
              </w:rPr>
              <w:t>,00</w:t>
            </w:r>
          </w:p>
        </w:tc>
      </w:tr>
      <w:tr w:rsidR="00930830" w:rsidRPr="00C0776E" w14:paraId="5D118118" w14:textId="77777777" w:rsidTr="00D92654">
        <w:trPr>
          <w:trHeight w:val="270"/>
        </w:trPr>
        <w:tc>
          <w:tcPr>
            <w:tcW w:w="4760" w:type="dxa"/>
            <w:shd w:val="clear" w:color="auto" w:fill="auto"/>
            <w:noWrap/>
            <w:vAlign w:val="bottom"/>
          </w:tcPr>
          <w:p w14:paraId="2D44DFB1" w14:textId="29684278" w:rsidR="00930830" w:rsidRDefault="00152D41" w:rsidP="00FD0221">
            <w:pPr>
              <w:rPr>
                <w:bCs/>
              </w:rPr>
            </w:pPr>
            <w:r>
              <w:rPr>
                <w:bCs/>
              </w:rPr>
              <w:t>Invest</w:t>
            </w:r>
            <w:r w:rsidR="00D76251">
              <w:rPr>
                <w:bCs/>
              </w:rPr>
              <w:t xml:space="preserve">iční </w:t>
            </w:r>
            <w:r>
              <w:rPr>
                <w:bCs/>
              </w:rPr>
              <w:t xml:space="preserve">dotace </w:t>
            </w:r>
            <w:r w:rsidR="00D76251">
              <w:rPr>
                <w:bCs/>
              </w:rPr>
              <w:t>„</w:t>
            </w:r>
            <w:r>
              <w:rPr>
                <w:bCs/>
              </w:rPr>
              <w:t>Můj kraj</w:t>
            </w:r>
            <w:r w:rsidR="00D76251">
              <w:rPr>
                <w:bCs/>
              </w:rPr>
              <w:t>“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workout</w:t>
            </w:r>
            <w:proofErr w:type="spellEnd"/>
            <w:r>
              <w:rPr>
                <w:bCs/>
              </w:rPr>
              <w:t xml:space="preserve"> </w:t>
            </w:r>
            <w:r w:rsidR="00D76251">
              <w:rPr>
                <w:bCs/>
              </w:rPr>
              <w:t>+ pergola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46464C96" w14:textId="77777777" w:rsidR="00930830" w:rsidRPr="00C0776E" w:rsidRDefault="00930830" w:rsidP="00FD0221"/>
        </w:tc>
        <w:tc>
          <w:tcPr>
            <w:tcW w:w="941" w:type="dxa"/>
            <w:shd w:val="clear" w:color="auto" w:fill="auto"/>
            <w:noWrap/>
            <w:vAlign w:val="bottom"/>
          </w:tcPr>
          <w:p w14:paraId="11F4F4AE" w14:textId="4E2CD28E" w:rsidR="00930830" w:rsidRDefault="00152D41" w:rsidP="004015DD">
            <w:pPr>
              <w:jc w:val="center"/>
            </w:pPr>
            <w:r>
              <w:t>4222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5B770C" w14:textId="11529AB0" w:rsidR="00930830" w:rsidRDefault="008350C5" w:rsidP="00922526">
            <w:pPr>
              <w:jc w:val="right"/>
              <w:rPr>
                <w:bCs/>
              </w:rPr>
            </w:pPr>
            <w:r>
              <w:rPr>
                <w:bCs/>
              </w:rPr>
              <w:t>392.524,00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38F2FE45" w14:textId="3E69EA66" w:rsidR="00930830" w:rsidRDefault="008350C5" w:rsidP="00922526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930830">
              <w:rPr>
                <w:bCs/>
              </w:rPr>
              <w:t>,00</w:t>
            </w:r>
          </w:p>
        </w:tc>
      </w:tr>
      <w:tr w:rsidR="00190F3E" w:rsidRPr="00C0776E" w14:paraId="405605E4" w14:textId="77777777" w:rsidTr="00D92654">
        <w:trPr>
          <w:trHeight w:val="270"/>
        </w:trPr>
        <w:tc>
          <w:tcPr>
            <w:tcW w:w="4760" w:type="dxa"/>
            <w:shd w:val="clear" w:color="auto" w:fill="auto"/>
            <w:noWrap/>
            <w:vAlign w:val="bottom"/>
          </w:tcPr>
          <w:p w14:paraId="20AE24F5" w14:textId="361F45CE" w:rsidR="00190F3E" w:rsidRDefault="00437B83" w:rsidP="00FD0221">
            <w:pPr>
              <w:rPr>
                <w:bCs/>
              </w:rPr>
            </w:pPr>
            <w:r>
              <w:rPr>
                <w:bCs/>
              </w:rPr>
              <w:t xml:space="preserve">Dotace ZŠ </w:t>
            </w:r>
            <w:proofErr w:type="gramStart"/>
            <w:r>
              <w:rPr>
                <w:bCs/>
              </w:rPr>
              <w:t>Šablony - transfer</w:t>
            </w:r>
            <w:proofErr w:type="gramEnd"/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53CC7C9B" w14:textId="0F945A3B" w:rsidR="00190F3E" w:rsidRPr="00C0776E" w:rsidRDefault="00190F3E" w:rsidP="00FD0221">
            <w:r>
              <w:t>33063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66D52996" w14:textId="27E3D97B" w:rsidR="00190F3E" w:rsidRDefault="00190F3E" w:rsidP="004015DD">
            <w:pPr>
              <w:jc w:val="center"/>
            </w:pPr>
            <w:r>
              <w:t>4116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A9532F" w14:textId="0F1D8406" w:rsidR="00190F3E" w:rsidRDefault="00190F3E" w:rsidP="00922526">
            <w:pPr>
              <w:jc w:val="right"/>
              <w:rPr>
                <w:bCs/>
              </w:rPr>
            </w:pPr>
            <w:r>
              <w:rPr>
                <w:bCs/>
              </w:rPr>
              <w:t>481.085,00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6CE8F6EE" w14:textId="03CB0135" w:rsidR="00190F3E" w:rsidRDefault="00190F3E" w:rsidP="00922526">
            <w:pPr>
              <w:jc w:val="right"/>
              <w:rPr>
                <w:bCs/>
              </w:rPr>
            </w:pPr>
            <w:r>
              <w:rPr>
                <w:bCs/>
              </w:rPr>
              <w:t>481.085,00</w:t>
            </w:r>
          </w:p>
        </w:tc>
      </w:tr>
      <w:tr w:rsidR="00190F3E" w:rsidRPr="00C0776E" w14:paraId="56949777" w14:textId="77777777" w:rsidTr="00D92654">
        <w:trPr>
          <w:trHeight w:val="270"/>
        </w:trPr>
        <w:tc>
          <w:tcPr>
            <w:tcW w:w="4760" w:type="dxa"/>
            <w:shd w:val="clear" w:color="auto" w:fill="auto"/>
            <w:noWrap/>
            <w:vAlign w:val="bottom"/>
          </w:tcPr>
          <w:p w14:paraId="75AD629E" w14:textId="7F8D9835" w:rsidR="00190F3E" w:rsidRDefault="00083BA5" w:rsidP="00FD0221">
            <w:pPr>
              <w:rPr>
                <w:bCs/>
              </w:rPr>
            </w:pPr>
            <w:r>
              <w:rPr>
                <w:bCs/>
              </w:rPr>
              <w:t xml:space="preserve">Dotace AOPK stanovištní úpravy </w:t>
            </w:r>
            <w:proofErr w:type="spellStart"/>
            <w:r>
              <w:rPr>
                <w:bCs/>
              </w:rPr>
              <w:t>hořeček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17AD4043" w14:textId="77777777" w:rsidR="00190F3E" w:rsidRPr="00C0776E" w:rsidRDefault="00190F3E" w:rsidP="00FD0221"/>
        </w:tc>
        <w:tc>
          <w:tcPr>
            <w:tcW w:w="941" w:type="dxa"/>
            <w:shd w:val="clear" w:color="auto" w:fill="auto"/>
            <w:noWrap/>
            <w:vAlign w:val="bottom"/>
          </w:tcPr>
          <w:p w14:paraId="6C86FD5D" w14:textId="712EBC5A" w:rsidR="00190F3E" w:rsidRDefault="00437B83" w:rsidP="004015DD">
            <w:pPr>
              <w:jc w:val="center"/>
            </w:pPr>
            <w:r>
              <w:t>4119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B2CD60" w14:textId="40B895A7" w:rsidR="00190F3E" w:rsidRDefault="00437B83" w:rsidP="00922526">
            <w:pPr>
              <w:jc w:val="right"/>
              <w:rPr>
                <w:bCs/>
              </w:rPr>
            </w:pPr>
            <w:r>
              <w:rPr>
                <w:bCs/>
              </w:rPr>
              <w:t>40.000.00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137DA7A1" w14:textId="4948701F" w:rsidR="00190F3E" w:rsidRDefault="00437B83" w:rsidP="00922526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22C92" w:rsidRPr="00C0776E" w14:paraId="711AA5B8" w14:textId="77777777" w:rsidTr="00D92654">
        <w:trPr>
          <w:trHeight w:val="270"/>
        </w:trPr>
        <w:tc>
          <w:tcPr>
            <w:tcW w:w="4760" w:type="dxa"/>
            <w:shd w:val="clear" w:color="auto" w:fill="auto"/>
            <w:noWrap/>
            <w:vAlign w:val="bottom"/>
          </w:tcPr>
          <w:p w14:paraId="5085C2B3" w14:textId="3C94E77A" w:rsidR="00022C92" w:rsidRDefault="00022C92" w:rsidP="00022C92">
            <w:pPr>
              <w:rPr>
                <w:bCs/>
              </w:rPr>
            </w:pPr>
            <w:r>
              <w:t>Investiční dotace IROP chodník k zastávce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368B3301" w14:textId="3780F4CF" w:rsidR="00022C92" w:rsidRPr="00C0776E" w:rsidRDefault="00022C92" w:rsidP="00022C92">
            <w:r>
              <w:t>17969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15308F5F" w14:textId="38836CD7" w:rsidR="00022C92" w:rsidRDefault="00022C92" w:rsidP="00022C92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F8F978" w14:textId="5011B899" w:rsidR="00022C92" w:rsidRDefault="00022C92" w:rsidP="00022C92">
            <w:pPr>
              <w:jc w:val="right"/>
              <w:rPr>
                <w:bCs/>
              </w:rPr>
            </w:pPr>
            <w:r>
              <w:t>0,00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24872EC9" w14:textId="52E3B380" w:rsidR="00022C92" w:rsidRDefault="00022C92" w:rsidP="00022C92">
            <w:pPr>
              <w:jc w:val="right"/>
              <w:rPr>
                <w:bCs/>
              </w:rPr>
            </w:pPr>
            <w:r>
              <w:t>731.853,40</w:t>
            </w:r>
          </w:p>
        </w:tc>
      </w:tr>
      <w:tr w:rsidR="00022C92" w:rsidRPr="00C0776E" w14:paraId="2E399E86" w14:textId="77777777" w:rsidTr="00D92654">
        <w:trPr>
          <w:trHeight w:val="270"/>
        </w:trPr>
        <w:tc>
          <w:tcPr>
            <w:tcW w:w="4760" w:type="dxa"/>
            <w:shd w:val="clear" w:color="auto" w:fill="auto"/>
            <w:noWrap/>
            <w:vAlign w:val="bottom"/>
          </w:tcPr>
          <w:p w14:paraId="26C70E72" w14:textId="61D714AC" w:rsidR="00022C92" w:rsidRDefault="00022C92" w:rsidP="00022C92">
            <w:pPr>
              <w:rPr>
                <w:bCs/>
              </w:rPr>
            </w:pPr>
            <w:r>
              <w:rPr>
                <w:bCs/>
              </w:rPr>
              <w:t>Investiční dotace MMR oprava MK Kozí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3D81F452" w14:textId="4072FDC3" w:rsidR="00022C92" w:rsidRPr="00C0776E" w:rsidRDefault="00213CFC" w:rsidP="00022C92">
            <w:r>
              <w:t>17508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3D86BD83" w14:textId="77777777" w:rsidR="00022C92" w:rsidRDefault="00022C92" w:rsidP="00022C92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9F0E00" w14:textId="77777777" w:rsidR="00022C92" w:rsidRDefault="00936EBF" w:rsidP="00022C92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  <w:p w14:paraId="75212E9E" w14:textId="3709CA34" w:rsidR="003A590E" w:rsidRDefault="003A590E" w:rsidP="00022C92">
            <w:pPr>
              <w:jc w:val="righ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1506500C" w14:textId="1092E986" w:rsidR="00022C92" w:rsidRDefault="00022C92" w:rsidP="00022C92">
            <w:pPr>
              <w:jc w:val="right"/>
              <w:rPr>
                <w:bCs/>
              </w:rPr>
            </w:pPr>
            <w:r>
              <w:rPr>
                <w:bCs/>
              </w:rPr>
              <w:t>1.648.900,00</w:t>
            </w:r>
          </w:p>
        </w:tc>
      </w:tr>
      <w:tr w:rsidR="00022C92" w:rsidRPr="00C0776E" w14:paraId="7CB519C6" w14:textId="77777777" w:rsidTr="00D92654">
        <w:trPr>
          <w:trHeight w:val="270"/>
        </w:trPr>
        <w:tc>
          <w:tcPr>
            <w:tcW w:w="4760" w:type="dxa"/>
            <w:shd w:val="clear" w:color="auto" w:fill="auto"/>
            <w:noWrap/>
            <w:vAlign w:val="bottom"/>
          </w:tcPr>
          <w:p w14:paraId="0392625E" w14:textId="77777777" w:rsidR="00022C92" w:rsidRPr="00C0776E" w:rsidRDefault="00022C92" w:rsidP="00022C92">
            <w:pPr>
              <w:rPr>
                <w:b/>
                <w:bCs/>
              </w:rPr>
            </w:pPr>
            <w:r w:rsidRPr="00C0776E">
              <w:rPr>
                <w:b/>
                <w:bCs/>
              </w:rPr>
              <w:t>CELKEM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21D4722A" w14:textId="77777777" w:rsidR="00022C92" w:rsidRPr="00C0776E" w:rsidRDefault="00022C92" w:rsidP="00022C92">
            <w:r w:rsidRPr="00C0776E">
              <w:t> 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6E2C69B5" w14:textId="77777777" w:rsidR="00022C92" w:rsidRPr="00C0776E" w:rsidRDefault="00022C92" w:rsidP="00022C92">
            <w:r w:rsidRPr="00C0776E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E0244A" w14:textId="2E15835B" w:rsidR="00022C92" w:rsidRPr="00C0776E" w:rsidRDefault="00022C92" w:rsidP="00022C92">
            <w:pPr>
              <w:jc w:val="right"/>
              <w:rPr>
                <w:b/>
                <w:bCs/>
              </w:rPr>
            </w:pPr>
            <w:r w:rsidRPr="00C0776E">
              <w:rPr>
                <w:b/>
                <w:bCs/>
              </w:rPr>
              <w:t> </w:t>
            </w:r>
            <w:r w:rsidR="00E45D89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E45D89">
              <w:rPr>
                <w:b/>
                <w:bCs/>
              </w:rPr>
              <w:t>654</w:t>
            </w:r>
            <w:r>
              <w:rPr>
                <w:b/>
                <w:bCs/>
              </w:rPr>
              <w:t>.</w:t>
            </w:r>
            <w:r w:rsidR="00E45D89">
              <w:rPr>
                <w:b/>
                <w:bCs/>
              </w:rPr>
              <w:t>178,63</w:t>
            </w:r>
            <w:r w:rsidRPr="00C0776E">
              <w:rPr>
                <w:b/>
                <w:bCs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09DCF524" w14:textId="138F5DEC" w:rsidR="00022C92" w:rsidRPr="00C0776E" w:rsidRDefault="00E45D89" w:rsidP="00022C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22C92">
              <w:rPr>
                <w:b/>
                <w:bCs/>
              </w:rPr>
              <w:t>.</w:t>
            </w:r>
            <w:r>
              <w:rPr>
                <w:b/>
                <w:bCs/>
              </w:rPr>
              <w:t>695</w:t>
            </w:r>
            <w:r w:rsidR="00022C92">
              <w:rPr>
                <w:b/>
                <w:bCs/>
              </w:rPr>
              <w:t>.</w:t>
            </w:r>
            <w:r>
              <w:rPr>
                <w:b/>
                <w:bCs/>
              </w:rPr>
              <w:t>885</w:t>
            </w:r>
            <w:r w:rsidR="00022C92">
              <w:rPr>
                <w:b/>
                <w:bCs/>
              </w:rPr>
              <w:t>,</w:t>
            </w:r>
            <w:r>
              <w:rPr>
                <w:b/>
                <w:bCs/>
              </w:rPr>
              <w:t>98</w:t>
            </w:r>
            <w:r w:rsidR="00022C92" w:rsidRPr="00C0776E">
              <w:rPr>
                <w:b/>
                <w:bCs/>
              </w:rPr>
              <w:t xml:space="preserve"> </w:t>
            </w:r>
          </w:p>
        </w:tc>
      </w:tr>
    </w:tbl>
    <w:p w14:paraId="3A8AFD93" w14:textId="77777777" w:rsidR="002D74A9" w:rsidRDefault="002D74A9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</w:p>
    <w:p w14:paraId="15A8B11E" w14:textId="15E2D827" w:rsidR="00FD111C" w:rsidRPr="00C0776E" w:rsidRDefault="005E0171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  <w:r w:rsidRPr="00C0776E">
        <w:rPr>
          <w:b/>
          <w:bCs/>
        </w:rPr>
        <w:t>7</w:t>
      </w:r>
      <w:r w:rsidR="00FD111C" w:rsidRPr="00C0776E">
        <w:rPr>
          <w:b/>
          <w:bCs/>
        </w:rPr>
        <w:t>) Vyúčtování finančních vztahů k příjemcům podpory z rozpočtu obce</w:t>
      </w:r>
    </w:p>
    <w:p w14:paraId="039F7BDB" w14:textId="7D887458" w:rsidR="003C12B5" w:rsidRPr="00C0776E" w:rsidRDefault="00CC7C03" w:rsidP="00A4125F">
      <w:pPr>
        <w:pStyle w:val="Zkladntext"/>
        <w:tabs>
          <w:tab w:val="left" w:pos="360"/>
        </w:tabs>
        <w:spacing w:line="240" w:lineRule="auto"/>
        <w:jc w:val="both"/>
      </w:pPr>
      <w:r>
        <w:t>Příspěvky</w:t>
      </w:r>
      <w:r w:rsidR="003C12B5" w:rsidRPr="00C0776E">
        <w:t xml:space="preserve"> </w:t>
      </w:r>
      <w:r w:rsidR="003C12B5">
        <w:t>z</w:t>
      </w:r>
      <w:r w:rsidR="003C12B5" w:rsidRPr="00C0776E">
        <w:t xml:space="preserve"> rozpočtu obce </w:t>
      </w:r>
      <w:r w:rsidR="009D4BF1">
        <w:t>v roce</w:t>
      </w:r>
      <w:r w:rsidR="003C12B5" w:rsidRPr="00C0776E">
        <w:t xml:space="preserve"> 20</w:t>
      </w:r>
      <w:r w:rsidR="009D4BF1">
        <w:t>2</w:t>
      </w:r>
      <w:r w:rsidR="005368E3">
        <w:t>1</w:t>
      </w:r>
      <w:r w:rsidR="003C12B5" w:rsidRPr="00C0776E">
        <w:t xml:space="preserve"> činily celkem </w:t>
      </w:r>
      <w:r w:rsidR="009D4BF1">
        <w:t>6</w:t>
      </w:r>
      <w:r w:rsidR="005368E3">
        <w:t>5</w:t>
      </w:r>
      <w:r w:rsidR="00816A63">
        <w:t>.</w:t>
      </w:r>
      <w:r w:rsidR="000A7C9F">
        <w:t>031</w:t>
      </w:r>
      <w:r w:rsidR="000151E3">
        <w:t>,</w:t>
      </w:r>
      <w:r w:rsidR="000A7C9F">
        <w:t>32</w:t>
      </w:r>
      <w:r w:rsidR="003C12B5" w:rsidRPr="00C0776E">
        <w:t xml:space="preserve"> Kč</w:t>
      </w:r>
      <w:r w:rsidR="000A7C9F">
        <w:t>, r</w:t>
      </w:r>
      <w:r w:rsidR="003C12B5" w:rsidRPr="00C0776E">
        <w:t xml:space="preserve">ozpis </w:t>
      </w:r>
      <w:r w:rsidR="003C12B5">
        <w:t>vydaných</w:t>
      </w:r>
      <w:r w:rsidR="003C12B5" w:rsidRPr="00C0776E">
        <w:t xml:space="preserve"> </w:t>
      </w:r>
      <w:r>
        <w:t>příspěvků</w:t>
      </w:r>
      <w:r w:rsidR="003C12B5" w:rsidRPr="00C0776E">
        <w:t xml:space="preserve"> v tabulce.</w:t>
      </w:r>
    </w:p>
    <w:p w14:paraId="185F3DA1" w14:textId="77777777" w:rsidR="00FD111C" w:rsidRPr="00C0776E" w:rsidRDefault="00FD111C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3682"/>
        <w:gridCol w:w="1680"/>
      </w:tblGrid>
      <w:tr w:rsidR="007B1225" w:rsidRPr="00C0776E" w14:paraId="02091848" w14:textId="77777777">
        <w:trPr>
          <w:trHeight w:val="67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BFE64" w14:textId="77777777" w:rsidR="007B1225" w:rsidRPr="00D4681A" w:rsidRDefault="00D4681A" w:rsidP="00D4681A">
            <w:pPr>
              <w:jc w:val="center"/>
              <w:rPr>
                <w:b/>
              </w:rPr>
            </w:pPr>
            <w:r w:rsidRPr="00D4681A">
              <w:rPr>
                <w:b/>
              </w:rPr>
              <w:t>Organizace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AFEF1" w14:textId="77777777" w:rsidR="007B1225" w:rsidRPr="00C0776E" w:rsidRDefault="007B1225" w:rsidP="00D4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Účel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61BB" w14:textId="77777777" w:rsidR="007B1225" w:rsidRPr="00C0776E" w:rsidRDefault="007B1225" w:rsidP="00D4681A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Výše podpory</w:t>
            </w:r>
          </w:p>
        </w:tc>
      </w:tr>
      <w:tr w:rsidR="007B1225" w:rsidRPr="00C0776E" w14:paraId="75D87480" w14:textId="77777777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5315D" w14:textId="77777777" w:rsidR="007B1225" w:rsidRPr="00C0776E" w:rsidRDefault="00816A63">
            <w:r>
              <w:t>J</w:t>
            </w:r>
            <w:r w:rsidR="007B1225" w:rsidRPr="00C0776E">
              <w:t xml:space="preserve">SDH </w:t>
            </w:r>
            <w:r>
              <w:t>Ovčáry-Nedomice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380E6" w14:textId="77777777" w:rsidR="007B1225" w:rsidRDefault="007B1225" w:rsidP="00426B0F">
            <w:r>
              <w:t>Na činnost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C64E" w14:textId="77777777" w:rsidR="007B1225" w:rsidRPr="009D4BF1" w:rsidRDefault="00816A63" w:rsidP="004A7051">
            <w:pPr>
              <w:jc w:val="right"/>
            </w:pPr>
            <w:r w:rsidRPr="009D4BF1">
              <w:t>20.</w:t>
            </w:r>
            <w:r w:rsidR="00AA26D0" w:rsidRPr="009D4BF1">
              <w:t>0</w:t>
            </w:r>
            <w:r w:rsidR="007B1225" w:rsidRPr="009D4BF1">
              <w:t>00,00</w:t>
            </w:r>
          </w:p>
        </w:tc>
      </w:tr>
      <w:tr w:rsidR="00722C41" w:rsidRPr="00C0776E" w14:paraId="6C05B73E" w14:textId="77777777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4E5C" w14:textId="3136B8A4" w:rsidR="00722C41" w:rsidRDefault="005368E3">
            <w:r>
              <w:t>TJ</w:t>
            </w:r>
            <w:r w:rsidR="004244E2">
              <w:t xml:space="preserve"> Sokol Ovčáry, </w:t>
            </w:r>
            <w:proofErr w:type="spellStart"/>
            <w:r w:rsidR="004244E2">
              <w:t>z.s</w:t>
            </w:r>
            <w:proofErr w:type="spellEnd"/>
            <w:r w:rsidR="004244E2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CDCA4" w14:textId="09E6C363" w:rsidR="00722C41" w:rsidRDefault="004244E2" w:rsidP="00D4681A">
            <w:r>
              <w:t>Na provoz oddílu</w:t>
            </w:r>
            <w:r w:rsidR="005368E3">
              <w:t xml:space="preserve"> Děti v pohybu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9426A" w14:textId="2E24437F" w:rsidR="00722C41" w:rsidRPr="009D4BF1" w:rsidRDefault="005368E3">
            <w:pPr>
              <w:jc w:val="right"/>
            </w:pPr>
            <w:r>
              <w:t>5</w:t>
            </w:r>
            <w:r w:rsidR="000151E3" w:rsidRPr="009D4BF1">
              <w:t>.000</w:t>
            </w:r>
            <w:r w:rsidR="009D2350" w:rsidRPr="009D4BF1">
              <w:t>,00</w:t>
            </w:r>
          </w:p>
        </w:tc>
      </w:tr>
      <w:tr w:rsidR="007B1225" w:rsidRPr="00C0776E" w14:paraId="1912E892" w14:textId="77777777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C474" w14:textId="77777777" w:rsidR="007B1225" w:rsidRPr="00C0776E" w:rsidRDefault="00816A63">
            <w:r>
              <w:t xml:space="preserve">DSO </w:t>
            </w:r>
            <w:proofErr w:type="spellStart"/>
            <w:r>
              <w:t>Cecemínsko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46497" w14:textId="77777777" w:rsidR="007B1225" w:rsidRDefault="00816A63" w:rsidP="00D4681A">
            <w:r>
              <w:t>Členský příspěvek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D584" w14:textId="3893E083" w:rsidR="007B1225" w:rsidRPr="009D4BF1" w:rsidRDefault="000151E3">
            <w:pPr>
              <w:jc w:val="right"/>
            </w:pPr>
            <w:r w:rsidRPr="009D4BF1">
              <w:t>2</w:t>
            </w:r>
            <w:r w:rsidR="009D4BF1" w:rsidRPr="009D4BF1">
              <w:t>0</w:t>
            </w:r>
            <w:r w:rsidRPr="009D4BF1">
              <w:t>.000</w:t>
            </w:r>
            <w:r w:rsidR="007B1225" w:rsidRPr="009D4BF1">
              <w:t>,00</w:t>
            </w:r>
          </w:p>
        </w:tc>
      </w:tr>
      <w:tr w:rsidR="009D2350" w:rsidRPr="004244E2" w14:paraId="0620B657" w14:textId="77777777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53F2" w14:textId="11C6EB7B" w:rsidR="009D2350" w:rsidRDefault="006476AB">
            <w:r>
              <w:t>Linka Bezpečí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333AC" w14:textId="092323B4" w:rsidR="009D2350" w:rsidRDefault="006476AB" w:rsidP="00D4681A">
            <w:r>
              <w:t>Příspěvek na provoz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0F46" w14:textId="181C9B59" w:rsidR="009D2350" w:rsidRPr="009D4BF1" w:rsidRDefault="004244E2" w:rsidP="00E35030">
            <w:pPr>
              <w:jc w:val="right"/>
            </w:pPr>
            <w:r w:rsidRPr="009D4BF1">
              <w:t>1</w:t>
            </w:r>
            <w:r w:rsidR="00930830" w:rsidRPr="009D4BF1">
              <w:t>.</w:t>
            </w:r>
            <w:r w:rsidR="006476AB">
              <w:t>5</w:t>
            </w:r>
            <w:r w:rsidR="00930830" w:rsidRPr="009D4BF1">
              <w:t>00</w:t>
            </w:r>
            <w:r w:rsidR="009D2350" w:rsidRPr="009D4BF1">
              <w:t>,00</w:t>
            </w:r>
          </w:p>
        </w:tc>
      </w:tr>
      <w:tr w:rsidR="00930830" w:rsidRPr="00C0776E" w14:paraId="527B6BE0" w14:textId="77777777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ED24" w14:textId="77777777" w:rsidR="00930830" w:rsidRDefault="00930830">
            <w:proofErr w:type="spellStart"/>
            <w:r>
              <w:t>Apache</w:t>
            </w:r>
            <w:proofErr w:type="spellEnd"/>
            <w:r>
              <w:t xml:space="preserve"> </w:t>
            </w:r>
            <w:proofErr w:type="spellStart"/>
            <w:r>
              <w:t>Race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94723" w14:textId="77777777" w:rsidR="00930830" w:rsidRDefault="00930830" w:rsidP="00D4681A">
            <w:r>
              <w:t>Příspěvek na akci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C104" w14:textId="6FE5051A" w:rsidR="00930830" w:rsidRPr="009D4BF1" w:rsidRDefault="006476AB" w:rsidP="00E35030">
            <w:pPr>
              <w:jc w:val="right"/>
            </w:pPr>
            <w:r>
              <w:t>5</w:t>
            </w:r>
            <w:r w:rsidR="000151E3" w:rsidRPr="009D4BF1">
              <w:t>.</w:t>
            </w:r>
            <w:r w:rsidR="00930830" w:rsidRPr="009D4BF1">
              <w:t>000,00</w:t>
            </w:r>
          </w:p>
        </w:tc>
      </w:tr>
      <w:tr w:rsidR="007B1225" w:rsidRPr="00C0776E" w14:paraId="4FCA6B99" w14:textId="77777777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5DC5" w14:textId="62D12DE1" w:rsidR="007B1225" w:rsidRPr="00C0776E" w:rsidRDefault="006476AB">
            <w:r>
              <w:t>ČSCH Nedomice Ovčáry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82FE7" w14:textId="65D63C54" w:rsidR="007B1225" w:rsidRDefault="004244E2" w:rsidP="00D4681A">
            <w:r>
              <w:t xml:space="preserve">Příspěvek </w:t>
            </w:r>
            <w:r w:rsidR="006476AB">
              <w:t>na provoz spolku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6286" w14:textId="19825C7E" w:rsidR="007B1225" w:rsidRPr="009D4BF1" w:rsidRDefault="004244E2" w:rsidP="00E35030">
            <w:pPr>
              <w:jc w:val="right"/>
            </w:pPr>
            <w:r w:rsidRPr="009D4BF1">
              <w:t>5</w:t>
            </w:r>
            <w:r w:rsidR="000151E3" w:rsidRPr="009D4BF1">
              <w:t>.000</w:t>
            </w:r>
            <w:r w:rsidR="00816A63" w:rsidRPr="009D4BF1">
              <w:t>,00</w:t>
            </w:r>
          </w:p>
        </w:tc>
      </w:tr>
      <w:tr w:rsidR="005368E3" w:rsidRPr="004244E2" w14:paraId="0540267C" w14:textId="77777777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DE81" w14:textId="23343A5F" w:rsidR="005368E3" w:rsidRDefault="005368E3">
            <w:r>
              <w:t>VKM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3EE8E" w14:textId="695AF179" w:rsidR="005368E3" w:rsidRDefault="005368E3" w:rsidP="00D4681A">
            <w:r>
              <w:t>Členský příspěvek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8273" w14:textId="08D620CC" w:rsidR="005368E3" w:rsidRPr="009D4BF1" w:rsidRDefault="005368E3" w:rsidP="002C05BB">
            <w:pPr>
              <w:jc w:val="right"/>
            </w:pPr>
            <w:r>
              <w:t>361,00</w:t>
            </w:r>
          </w:p>
        </w:tc>
      </w:tr>
      <w:tr w:rsidR="00CF7405" w:rsidRPr="004244E2" w14:paraId="0E3689DA" w14:textId="77777777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99E9" w14:textId="77777777" w:rsidR="00CF7405" w:rsidRDefault="00816A63">
            <w:r>
              <w:t>Vyhlídky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34481" w14:textId="77777777" w:rsidR="00CF7405" w:rsidRDefault="00816A63" w:rsidP="00D4681A">
            <w:r>
              <w:t>Členský příspěvek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7DFEE" w14:textId="77777777" w:rsidR="00CF7405" w:rsidRPr="009D4BF1" w:rsidRDefault="000151E3" w:rsidP="002C05BB">
            <w:pPr>
              <w:jc w:val="right"/>
            </w:pPr>
            <w:r w:rsidRPr="009D4BF1">
              <w:t>5</w:t>
            </w:r>
            <w:r w:rsidR="00816A63" w:rsidRPr="009D4BF1">
              <w:t>.000,00</w:t>
            </w:r>
          </w:p>
        </w:tc>
      </w:tr>
      <w:tr w:rsidR="009D2350" w:rsidRPr="00C0776E" w14:paraId="54C55A1B" w14:textId="77777777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223F" w14:textId="77777777" w:rsidR="009D2350" w:rsidRDefault="009D2350">
            <w:r>
              <w:t>Svaz měst a obcí ČR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5B19D" w14:textId="77777777" w:rsidR="009D2350" w:rsidRDefault="009D2350" w:rsidP="00D4681A">
            <w:r>
              <w:t>Členský příspěvek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BAEFF" w14:textId="03467EB0" w:rsidR="009D2350" w:rsidRPr="009D4BF1" w:rsidRDefault="00930830" w:rsidP="002C05BB">
            <w:pPr>
              <w:jc w:val="right"/>
            </w:pPr>
            <w:r w:rsidRPr="009D4BF1">
              <w:t>3.1</w:t>
            </w:r>
            <w:r w:rsidR="005368E3">
              <w:t>70</w:t>
            </w:r>
            <w:r w:rsidRPr="009D4BF1">
              <w:t>,</w:t>
            </w:r>
            <w:r w:rsidR="005368E3">
              <w:t>32</w:t>
            </w:r>
          </w:p>
        </w:tc>
      </w:tr>
      <w:tr w:rsidR="007B1225" w:rsidRPr="0002659C" w14:paraId="6710362E" w14:textId="77777777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4570" w14:textId="02F78B4A" w:rsidR="007B1225" w:rsidRPr="0002659C" w:rsidRDefault="007B1225">
            <w:pPr>
              <w:rPr>
                <w:b/>
                <w:bCs/>
              </w:rPr>
            </w:pPr>
            <w:r w:rsidRPr="0002659C">
              <w:rPr>
                <w:b/>
                <w:bCs/>
              </w:rPr>
              <w:t>C</w:t>
            </w:r>
            <w:r w:rsidR="0002659C">
              <w:rPr>
                <w:b/>
                <w:bCs/>
              </w:rPr>
              <w:t>ELKEM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8B2A2" w14:textId="77777777" w:rsidR="007B1225" w:rsidRPr="0002659C" w:rsidRDefault="007B1225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9544" w14:textId="57C0FFC6" w:rsidR="007B1225" w:rsidRPr="0002659C" w:rsidRDefault="009D4BF1" w:rsidP="004A7051">
            <w:pPr>
              <w:jc w:val="right"/>
              <w:rPr>
                <w:b/>
                <w:bCs/>
              </w:rPr>
            </w:pPr>
            <w:r w:rsidRPr="0002659C">
              <w:rPr>
                <w:b/>
                <w:bCs/>
              </w:rPr>
              <w:t>6</w:t>
            </w:r>
            <w:r w:rsidR="005368E3">
              <w:rPr>
                <w:b/>
                <w:bCs/>
              </w:rPr>
              <w:t>5</w:t>
            </w:r>
            <w:r w:rsidR="00816A63" w:rsidRPr="0002659C">
              <w:rPr>
                <w:b/>
                <w:bCs/>
              </w:rPr>
              <w:t>.</w:t>
            </w:r>
            <w:r w:rsidR="005368E3">
              <w:rPr>
                <w:b/>
                <w:bCs/>
              </w:rPr>
              <w:t>031</w:t>
            </w:r>
            <w:r w:rsidR="00D24572" w:rsidRPr="0002659C">
              <w:rPr>
                <w:b/>
                <w:bCs/>
              </w:rPr>
              <w:t>,</w:t>
            </w:r>
            <w:r w:rsidR="005368E3">
              <w:rPr>
                <w:b/>
                <w:bCs/>
              </w:rPr>
              <w:t>32</w:t>
            </w:r>
          </w:p>
        </w:tc>
      </w:tr>
    </w:tbl>
    <w:p w14:paraId="73FB72CD" w14:textId="77777777" w:rsidR="00FD111C" w:rsidRPr="00C0776E" w:rsidRDefault="00FD111C" w:rsidP="00FD111C">
      <w:pPr>
        <w:pStyle w:val="Zkladntext"/>
        <w:tabs>
          <w:tab w:val="left" w:pos="360"/>
        </w:tabs>
        <w:spacing w:line="240" w:lineRule="auto"/>
        <w:jc w:val="both"/>
      </w:pPr>
    </w:p>
    <w:p w14:paraId="1070187D" w14:textId="1BE4EDA3" w:rsidR="00FD0221" w:rsidRPr="007B1225" w:rsidRDefault="00551575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  <w:r w:rsidRPr="007B1225">
        <w:rPr>
          <w:b/>
          <w:bCs/>
        </w:rPr>
        <w:t>8</w:t>
      </w:r>
      <w:r w:rsidR="00FD0221" w:rsidRPr="007B1225">
        <w:rPr>
          <w:b/>
          <w:bCs/>
        </w:rPr>
        <w:t xml:space="preserve">) Zpráva o výsledku přezkoumání hospodaření </w:t>
      </w:r>
      <w:r w:rsidR="001A76F8" w:rsidRPr="007B1225">
        <w:rPr>
          <w:b/>
          <w:bCs/>
        </w:rPr>
        <w:t xml:space="preserve">Obce </w:t>
      </w:r>
      <w:r w:rsidR="00D30BF9">
        <w:rPr>
          <w:b/>
          <w:bCs/>
        </w:rPr>
        <w:t>Nedomice</w:t>
      </w:r>
      <w:r w:rsidR="00FD0221" w:rsidRPr="007B1225">
        <w:rPr>
          <w:b/>
          <w:bCs/>
        </w:rPr>
        <w:t xml:space="preserve"> za rok 20</w:t>
      </w:r>
      <w:r w:rsidR="007D195C">
        <w:rPr>
          <w:b/>
          <w:bCs/>
        </w:rPr>
        <w:t>2</w:t>
      </w:r>
      <w:r w:rsidR="00CD2287">
        <w:rPr>
          <w:b/>
          <w:bCs/>
        </w:rPr>
        <w:t>1</w:t>
      </w:r>
    </w:p>
    <w:p w14:paraId="37682A2F" w14:textId="75AF2EEE" w:rsidR="000C2BBC" w:rsidRPr="007B1225" w:rsidRDefault="000C2BBC" w:rsidP="00A4125F">
      <w:pPr>
        <w:pStyle w:val="Textbubliny"/>
        <w:jc w:val="both"/>
        <w:rPr>
          <w:rFonts w:ascii="Times New Roman" w:hAnsi="Times New Roman"/>
          <w:sz w:val="24"/>
          <w:szCs w:val="24"/>
        </w:rPr>
      </w:pPr>
      <w:r w:rsidRPr="007B1225">
        <w:rPr>
          <w:rFonts w:ascii="Times New Roman" w:hAnsi="Times New Roman"/>
          <w:sz w:val="24"/>
          <w:szCs w:val="24"/>
        </w:rPr>
        <w:t xml:space="preserve">Přezkoumání hospodaření </w:t>
      </w:r>
      <w:r w:rsidR="000A5E78">
        <w:rPr>
          <w:rFonts w:ascii="Times New Roman" w:hAnsi="Times New Roman"/>
          <w:sz w:val="24"/>
          <w:szCs w:val="24"/>
        </w:rPr>
        <w:t>bylo provedeno na základě žádosti obce. Přezkoumání</w:t>
      </w:r>
      <w:r w:rsidR="005C60B5">
        <w:rPr>
          <w:rFonts w:ascii="Times New Roman" w:hAnsi="Times New Roman"/>
          <w:sz w:val="24"/>
          <w:szCs w:val="24"/>
        </w:rPr>
        <w:t xml:space="preserve"> </w:t>
      </w:r>
      <w:r w:rsidRPr="007B1225">
        <w:rPr>
          <w:rFonts w:ascii="Times New Roman" w:hAnsi="Times New Roman"/>
          <w:sz w:val="24"/>
          <w:szCs w:val="24"/>
        </w:rPr>
        <w:t>provedl</w:t>
      </w:r>
      <w:r w:rsidR="005C60B5">
        <w:rPr>
          <w:rFonts w:ascii="Times New Roman" w:hAnsi="Times New Roman"/>
          <w:sz w:val="24"/>
          <w:szCs w:val="24"/>
        </w:rPr>
        <w:t xml:space="preserve">i </w:t>
      </w:r>
      <w:r w:rsidR="00D30BF9">
        <w:rPr>
          <w:rFonts w:ascii="Times New Roman" w:hAnsi="Times New Roman"/>
          <w:sz w:val="24"/>
          <w:szCs w:val="24"/>
        </w:rPr>
        <w:t xml:space="preserve">kontroloři </w:t>
      </w:r>
      <w:r w:rsidR="00D30BF9" w:rsidRPr="007B1225">
        <w:rPr>
          <w:rFonts w:ascii="Times New Roman" w:hAnsi="Times New Roman"/>
          <w:sz w:val="24"/>
          <w:szCs w:val="24"/>
        </w:rPr>
        <w:t xml:space="preserve">Krajského úřadu </w:t>
      </w:r>
      <w:r w:rsidR="00D30BF9">
        <w:rPr>
          <w:rFonts w:ascii="Times New Roman" w:hAnsi="Times New Roman"/>
          <w:sz w:val="24"/>
          <w:szCs w:val="24"/>
        </w:rPr>
        <w:t>Středočeského kraje</w:t>
      </w:r>
      <w:r w:rsidRPr="007B1225">
        <w:rPr>
          <w:rFonts w:ascii="Times New Roman" w:hAnsi="Times New Roman"/>
          <w:sz w:val="24"/>
          <w:szCs w:val="24"/>
        </w:rPr>
        <w:t>. Přezkoumání hospodaření bylo provedeno v souladu se zákonem č. 420/2004 Sb., o přezkoumávání hospodaření územních samosprávných celků a dobrovolných svazků obcí v</w:t>
      </w:r>
      <w:r w:rsidR="005C60B5">
        <w:rPr>
          <w:rFonts w:ascii="Times New Roman" w:hAnsi="Times New Roman"/>
          <w:sz w:val="24"/>
          <w:szCs w:val="24"/>
        </w:rPr>
        <w:t> </w:t>
      </w:r>
      <w:r w:rsidRPr="007B1225">
        <w:rPr>
          <w:rFonts w:ascii="Times New Roman" w:hAnsi="Times New Roman"/>
          <w:sz w:val="24"/>
          <w:szCs w:val="24"/>
        </w:rPr>
        <w:t>termínu</w:t>
      </w:r>
      <w:r w:rsidR="005C60B5">
        <w:rPr>
          <w:rFonts w:ascii="Times New Roman" w:hAnsi="Times New Roman"/>
          <w:sz w:val="24"/>
          <w:szCs w:val="24"/>
        </w:rPr>
        <w:t xml:space="preserve"> </w:t>
      </w:r>
      <w:r w:rsidR="008326A7">
        <w:rPr>
          <w:rFonts w:ascii="Times New Roman" w:hAnsi="Times New Roman"/>
          <w:sz w:val="24"/>
          <w:szCs w:val="24"/>
        </w:rPr>
        <w:t>26</w:t>
      </w:r>
      <w:r w:rsidRPr="007B1225">
        <w:rPr>
          <w:rFonts w:ascii="Times New Roman" w:hAnsi="Times New Roman"/>
          <w:sz w:val="24"/>
          <w:szCs w:val="24"/>
        </w:rPr>
        <w:t>.</w:t>
      </w:r>
      <w:r w:rsidR="0066654E">
        <w:rPr>
          <w:rFonts w:ascii="Times New Roman" w:hAnsi="Times New Roman"/>
          <w:sz w:val="24"/>
          <w:szCs w:val="24"/>
        </w:rPr>
        <w:t>1</w:t>
      </w:r>
      <w:r w:rsidR="008326A7">
        <w:rPr>
          <w:rFonts w:ascii="Times New Roman" w:hAnsi="Times New Roman"/>
          <w:sz w:val="24"/>
          <w:szCs w:val="24"/>
        </w:rPr>
        <w:t>1</w:t>
      </w:r>
      <w:r w:rsidRPr="007B1225">
        <w:rPr>
          <w:rFonts w:ascii="Times New Roman" w:hAnsi="Times New Roman"/>
          <w:sz w:val="24"/>
          <w:szCs w:val="24"/>
        </w:rPr>
        <w:t>.20</w:t>
      </w:r>
      <w:r w:rsidR="007D195C">
        <w:rPr>
          <w:rFonts w:ascii="Times New Roman" w:hAnsi="Times New Roman"/>
          <w:sz w:val="24"/>
          <w:szCs w:val="24"/>
        </w:rPr>
        <w:t>2</w:t>
      </w:r>
      <w:r w:rsidR="008326A7">
        <w:rPr>
          <w:rFonts w:ascii="Times New Roman" w:hAnsi="Times New Roman"/>
          <w:sz w:val="24"/>
          <w:szCs w:val="24"/>
        </w:rPr>
        <w:t>1</w:t>
      </w:r>
      <w:r w:rsidR="005C60B5">
        <w:rPr>
          <w:rFonts w:ascii="Times New Roman" w:hAnsi="Times New Roman"/>
          <w:sz w:val="24"/>
          <w:szCs w:val="24"/>
        </w:rPr>
        <w:t xml:space="preserve"> </w:t>
      </w:r>
      <w:r w:rsidRPr="007B1225">
        <w:rPr>
          <w:rFonts w:ascii="Times New Roman" w:hAnsi="Times New Roman"/>
          <w:sz w:val="24"/>
          <w:szCs w:val="24"/>
        </w:rPr>
        <w:t>(díl</w:t>
      </w:r>
      <w:r w:rsidR="00227E71" w:rsidRPr="007B1225">
        <w:rPr>
          <w:rFonts w:ascii="Times New Roman" w:hAnsi="Times New Roman"/>
          <w:sz w:val="24"/>
          <w:szCs w:val="24"/>
        </w:rPr>
        <w:t>č</w:t>
      </w:r>
      <w:r w:rsidRPr="007B1225">
        <w:rPr>
          <w:rFonts w:ascii="Times New Roman" w:hAnsi="Times New Roman"/>
          <w:sz w:val="24"/>
          <w:szCs w:val="24"/>
        </w:rPr>
        <w:t>í přezk</w:t>
      </w:r>
      <w:r w:rsidR="00DF39BA">
        <w:rPr>
          <w:rFonts w:ascii="Times New Roman" w:hAnsi="Times New Roman"/>
          <w:sz w:val="24"/>
          <w:szCs w:val="24"/>
        </w:rPr>
        <w:t>oumání hospodaření</w:t>
      </w:r>
      <w:r w:rsidRPr="007B1225">
        <w:rPr>
          <w:rFonts w:ascii="Times New Roman" w:hAnsi="Times New Roman"/>
          <w:sz w:val="24"/>
          <w:szCs w:val="24"/>
        </w:rPr>
        <w:t xml:space="preserve">) a </w:t>
      </w:r>
      <w:r w:rsidR="008326A7">
        <w:rPr>
          <w:rFonts w:ascii="Times New Roman" w:hAnsi="Times New Roman"/>
          <w:sz w:val="24"/>
          <w:szCs w:val="24"/>
        </w:rPr>
        <w:t>21</w:t>
      </w:r>
      <w:r w:rsidRPr="007B1225">
        <w:rPr>
          <w:rFonts w:ascii="Times New Roman" w:hAnsi="Times New Roman"/>
          <w:sz w:val="24"/>
          <w:szCs w:val="24"/>
        </w:rPr>
        <w:t>.</w:t>
      </w:r>
      <w:r w:rsidR="007D195C">
        <w:rPr>
          <w:rFonts w:ascii="Times New Roman" w:hAnsi="Times New Roman"/>
          <w:sz w:val="24"/>
          <w:szCs w:val="24"/>
        </w:rPr>
        <w:t>3</w:t>
      </w:r>
      <w:r w:rsidRPr="007B1225">
        <w:rPr>
          <w:rFonts w:ascii="Times New Roman" w:hAnsi="Times New Roman"/>
          <w:sz w:val="24"/>
          <w:szCs w:val="24"/>
        </w:rPr>
        <w:t>.20</w:t>
      </w:r>
      <w:r w:rsidR="009D5F0F">
        <w:rPr>
          <w:rFonts w:ascii="Times New Roman" w:hAnsi="Times New Roman"/>
          <w:sz w:val="24"/>
          <w:szCs w:val="24"/>
        </w:rPr>
        <w:t>2</w:t>
      </w:r>
      <w:r w:rsidR="008326A7">
        <w:rPr>
          <w:rFonts w:ascii="Times New Roman" w:hAnsi="Times New Roman"/>
          <w:sz w:val="24"/>
          <w:szCs w:val="24"/>
        </w:rPr>
        <w:t>2</w:t>
      </w:r>
      <w:r w:rsidRPr="007B1225">
        <w:rPr>
          <w:rFonts w:ascii="Times New Roman" w:hAnsi="Times New Roman"/>
          <w:sz w:val="24"/>
          <w:szCs w:val="24"/>
        </w:rPr>
        <w:t xml:space="preserve"> (</w:t>
      </w:r>
      <w:r w:rsidR="00DF39BA">
        <w:rPr>
          <w:rFonts w:ascii="Times New Roman" w:hAnsi="Times New Roman"/>
          <w:sz w:val="24"/>
          <w:szCs w:val="24"/>
        </w:rPr>
        <w:t>konečné přezkoumání hospodaření</w:t>
      </w:r>
      <w:r w:rsidRPr="007B1225">
        <w:rPr>
          <w:rFonts w:ascii="Times New Roman" w:hAnsi="Times New Roman"/>
          <w:sz w:val="24"/>
          <w:szCs w:val="24"/>
        </w:rPr>
        <w:t>).</w:t>
      </w:r>
    </w:p>
    <w:p w14:paraId="32271E73" w14:textId="77777777" w:rsidR="00733033" w:rsidRDefault="00733033" w:rsidP="000013E9">
      <w:pPr>
        <w:jc w:val="both"/>
        <w:rPr>
          <w:b/>
          <w:u w:val="single"/>
        </w:rPr>
      </w:pPr>
    </w:p>
    <w:p w14:paraId="0BCE1EF5" w14:textId="3F60FA40" w:rsidR="00313E58" w:rsidRPr="00664158" w:rsidRDefault="000C2BBC" w:rsidP="007D195C">
      <w:pPr>
        <w:jc w:val="both"/>
        <w:rPr>
          <w:bCs/>
        </w:rPr>
      </w:pPr>
      <w:r w:rsidRPr="00B00D47">
        <w:rPr>
          <w:b/>
          <w:u w:val="single"/>
        </w:rPr>
        <w:t>Závěr zprávy</w:t>
      </w:r>
      <w:r w:rsidR="00233818" w:rsidRPr="00B00D47">
        <w:rPr>
          <w:b/>
          <w:u w:val="single"/>
        </w:rPr>
        <w:t>:</w:t>
      </w:r>
      <w:r w:rsidR="00664158">
        <w:rPr>
          <w:bCs/>
        </w:rPr>
        <w:t xml:space="preserve"> Dle Smlouvy o bezúplatném převodu pozemku č.1004992110 uzavřené dne 10.12.20221 se Státním pozemkovým úřadem bylo na účtu 031 o nabytí pozemku chybně účtováno až v lednu 2022, i když zápis do katastru nemovitostí byl podán dne 17.12.2021. </w:t>
      </w:r>
      <w:r w:rsidR="00664158" w:rsidRPr="00FC7298">
        <w:rPr>
          <w:b/>
        </w:rPr>
        <w:t>Žádné další chyby a nedostatky nebyly zjištěny.</w:t>
      </w:r>
    </w:p>
    <w:p w14:paraId="2834290B" w14:textId="4AB5554C" w:rsidR="000C2BBC" w:rsidRPr="007B1225" w:rsidRDefault="002E0A7A" w:rsidP="002E0A7A">
      <w:pPr>
        <w:pStyle w:val="Textbubli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C2BBC" w:rsidRPr="007B1225">
        <w:rPr>
          <w:rFonts w:ascii="Times New Roman" w:hAnsi="Times New Roman"/>
          <w:sz w:val="24"/>
          <w:szCs w:val="24"/>
        </w:rPr>
        <w:t>Plné znění zprávy o provedeném přezkoumání hospodaření obce za rok 20</w:t>
      </w:r>
      <w:r w:rsidR="007D195C">
        <w:rPr>
          <w:rFonts w:ascii="Times New Roman" w:hAnsi="Times New Roman"/>
          <w:sz w:val="24"/>
          <w:szCs w:val="24"/>
        </w:rPr>
        <w:t>2</w:t>
      </w:r>
      <w:r w:rsidR="00CD2287">
        <w:rPr>
          <w:rFonts w:ascii="Times New Roman" w:hAnsi="Times New Roman"/>
          <w:sz w:val="24"/>
          <w:szCs w:val="24"/>
        </w:rPr>
        <w:t>1</w:t>
      </w:r>
      <w:r w:rsidR="0093065D">
        <w:rPr>
          <w:rFonts w:ascii="Times New Roman" w:hAnsi="Times New Roman"/>
          <w:sz w:val="24"/>
          <w:szCs w:val="24"/>
        </w:rPr>
        <w:t xml:space="preserve"> </w:t>
      </w:r>
      <w:r w:rsidR="000C2BBC" w:rsidRPr="007B1225">
        <w:rPr>
          <w:rFonts w:ascii="Times New Roman" w:hAnsi="Times New Roman"/>
          <w:sz w:val="24"/>
          <w:szCs w:val="24"/>
        </w:rPr>
        <w:t xml:space="preserve">je </w:t>
      </w:r>
      <w:r w:rsidR="000138AD">
        <w:rPr>
          <w:rFonts w:ascii="Times New Roman" w:hAnsi="Times New Roman"/>
          <w:sz w:val="24"/>
          <w:szCs w:val="24"/>
        </w:rPr>
        <w:t>zveřejněno na úřední desce a elektronické úřední desce</w:t>
      </w:r>
      <w:r w:rsidR="000C2BBC" w:rsidRPr="007B1225">
        <w:rPr>
          <w:rFonts w:ascii="Times New Roman" w:hAnsi="Times New Roman"/>
          <w:sz w:val="24"/>
          <w:szCs w:val="24"/>
        </w:rPr>
        <w:t>.</w:t>
      </w:r>
      <w:r w:rsidR="0093065D">
        <w:rPr>
          <w:rFonts w:ascii="Times New Roman" w:hAnsi="Times New Roman"/>
          <w:sz w:val="24"/>
          <w:szCs w:val="24"/>
        </w:rPr>
        <w:t xml:space="preserve"> Příloha č. </w:t>
      </w:r>
      <w:r w:rsidR="00ED11FE">
        <w:rPr>
          <w:rFonts w:ascii="Times New Roman" w:hAnsi="Times New Roman"/>
          <w:sz w:val="24"/>
          <w:szCs w:val="24"/>
        </w:rPr>
        <w:t>6</w:t>
      </w:r>
      <w:r w:rsidR="009306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14:paraId="3CB2E363" w14:textId="77777777" w:rsidR="001E2AB7" w:rsidRDefault="001E2AB7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sz w:val="22"/>
          <w:szCs w:val="22"/>
        </w:rPr>
      </w:pPr>
    </w:p>
    <w:p w14:paraId="35CA1439" w14:textId="77777777" w:rsidR="00301B23" w:rsidRPr="000A5E78" w:rsidRDefault="000A5E78" w:rsidP="00A4125F">
      <w:pPr>
        <w:pStyle w:val="Zkladntext"/>
        <w:tabs>
          <w:tab w:val="left" w:pos="360"/>
        </w:tabs>
        <w:spacing w:line="240" w:lineRule="auto"/>
        <w:jc w:val="both"/>
      </w:pPr>
      <w:r>
        <w:rPr>
          <w:b/>
          <w:sz w:val="22"/>
          <w:szCs w:val="22"/>
        </w:rPr>
        <w:t>9</w:t>
      </w:r>
      <w:r w:rsidRPr="000A5E78">
        <w:rPr>
          <w:b/>
        </w:rPr>
        <w:t xml:space="preserve">) </w:t>
      </w:r>
      <w:r w:rsidR="00301B23" w:rsidRPr="000A5E78">
        <w:rPr>
          <w:b/>
        </w:rPr>
        <w:t>Přílohy</w:t>
      </w:r>
      <w:r w:rsidR="00301B23" w:rsidRPr="000A5E78">
        <w:t xml:space="preserve"> </w:t>
      </w:r>
      <w:r w:rsidR="0093065D">
        <w:t>tvořící závěrečný účet, které z důvodu rozsahu</w:t>
      </w:r>
      <w:r w:rsidR="00F9238C">
        <w:t xml:space="preserve"> </w:t>
      </w:r>
      <w:r w:rsidR="0093065D">
        <w:t>nejsou vyvěšovány na úřední desce jsou k dispozic</w:t>
      </w:r>
      <w:r w:rsidR="0062112E">
        <w:t>i</w:t>
      </w:r>
      <w:r w:rsidR="0093065D">
        <w:t xml:space="preserve"> </w:t>
      </w:r>
      <w:r w:rsidRPr="000A5E78">
        <w:t>v kanceláři</w:t>
      </w:r>
      <w:r w:rsidR="00301B23" w:rsidRPr="000A5E78">
        <w:t xml:space="preserve"> </w:t>
      </w:r>
      <w:r w:rsidRPr="000A5E78">
        <w:t>o</w:t>
      </w:r>
      <w:r w:rsidR="00301B23" w:rsidRPr="000A5E78">
        <w:t>becního úřadu</w:t>
      </w:r>
      <w:r w:rsidR="00502E22">
        <w:t xml:space="preserve"> (všechny přílohy jsou vyvěšeny na elektronické úřední desce)</w:t>
      </w:r>
      <w:r w:rsidR="00301B23" w:rsidRPr="000A5E78">
        <w:t>:</w:t>
      </w:r>
    </w:p>
    <w:p w14:paraId="75AE85BB" w14:textId="14AFB374" w:rsidR="00301B23" w:rsidRDefault="003C12B5" w:rsidP="00A4125F">
      <w:pPr>
        <w:pStyle w:val="Zkladntext"/>
        <w:tabs>
          <w:tab w:val="left" w:pos="360"/>
        </w:tabs>
        <w:spacing w:line="240" w:lineRule="auto"/>
        <w:ind w:left="357"/>
        <w:jc w:val="both"/>
        <w:rPr>
          <w:bCs/>
        </w:rPr>
      </w:pPr>
      <w:r>
        <w:rPr>
          <w:bCs/>
        </w:rPr>
        <w:t xml:space="preserve">1. </w:t>
      </w:r>
      <w:r w:rsidR="00AE227D">
        <w:rPr>
          <w:bCs/>
        </w:rPr>
        <w:t>Návrh z</w:t>
      </w:r>
      <w:r w:rsidR="00A52347">
        <w:rPr>
          <w:bCs/>
        </w:rPr>
        <w:t>ávěrečn</w:t>
      </w:r>
      <w:r w:rsidR="00AE227D">
        <w:rPr>
          <w:bCs/>
        </w:rPr>
        <w:t>ého</w:t>
      </w:r>
      <w:r w:rsidR="00A52347">
        <w:rPr>
          <w:bCs/>
        </w:rPr>
        <w:t xml:space="preserve"> účt</w:t>
      </w:r>
      <w:r w:rsidR="00AE227D">
        <w:rPr>
          <w:bCs/>
        </w:rPr>
        <w:t>u</w:t>
      </w:r>
      <w:r w:rsidR="00A52347">
        <w:rPr>
          <w:bCs/>
        </w:rPr>
        <w:t xml:space="preserve"> za rok 20</w:t>
      </w:r>
      <w:r w:rsidR="00B35B6C">
        <w:rPr>
          <w:bCs/>
        </w:rPr>
        <w:t>2</w:t>
      </w:r>
      <w:r w:rsidR="00CD2287">
        <w:rPr>
          <w:bCs/>
        </w:rPr>
        <w:t>1</w:t>
      </w:r>
    </w:p>
    <w:p w14:paraId="434D3B56" w14:textId="6DC39125" w:rsidR="00ED11FE" w:rsidRDefault="003C12B5" w:rsidP="00A52347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tab/>
      </w:r>
      <w:r w:rsidR="00ED11FE">
        <w:t>2</w:t>
      </w:r>
      <w:r w:rsidR="00ED11FE">
        <w:rPr>
          <w:bCs/>
        </w:rPr>
        <w:t>. FIN 2-</w:t>
      </w:r>
      <w:smartTag w:uri="urn:schemas-microsoft-com:office:smarttags" w:element="metricconverter">
        <w:smartTagPr>
          <w:attr w:name="ProductID" w:val="12 M"/>
        </w:smartTagPr>
        <w:r w:rsidR="00FD6E2A">
          <w:rPr>
            <w:bCs/>
          </w:rPr>
          <w:t>1</w:t>
        </w:r>
        <w:r w:rsidR="00ED11FE">
          <w:rPr>
            <w:bCs/>
          </w:rPr>
          <w:t>2 M</w:t>
        </w:r>
      </w:smartTag>
      <w:r w:rsidR="00ED11FE">
        <w:rPr>
          <w:bCs/>
        </w:rPr>
        <w:t xml:space="preserve"> ke dni 31.12.20</w:t>
      </w:r>
      <w:r w:rsidR="00B35B6C">
        <w:rPr>
          <w:bCs/>
        </w:rPr>
        <w:t>2</w:t>
      </w:r>
      <w:r w:rsidR="00CD2287">
        <w:rPr>
          <w:bCs/>
        </w:rPr>
        <w:t>1</w:t>
      </w:r>
    </w:p>
    <w:p w14:paraId="04EA3B5F" w14:textId="7154814E" w:rsidR="00ED11FE" w:rsidRDefault="00ED11FE" w:rsidP="00A52347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rPr>
          <w:bCs/>
        </w:rPr>
        <w:t xml:space="preserve">      3. Rozvaha ke dni 31.12.20</w:t>
      </w:r>
      <w:r w:rsidR="00B35B6C">
        <w:rPr>
          <w:bCs/>
        </w:rPr>
        <w:t>2</w:t>
      </w:r>
      <w:r w:rsidR="00CD2287">
        <w:rPr>
          <w:bCs/>
        </w:rPr>
        <w:t>1</w:t>
      </w:r>
    </w:p>
    <w:p w14:paraId="28F458EC" w14:textId="36D91D89" w:rsidR="00ED11FE" w:rsidRDefault="00ED11FE" w:rsidP="00A52347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rPr>
          <w:bCs/>
        </w:rPr>
        <w:t xml:space="preserve">      4. Výkaz zisku a ztrát ke dni 31.12.20</w:t>
      </w:r>
      <w:r w:rsidR="00B35B6C">
        <w:rPr>
          <w:bCs/>
        </w:rPr>
        <w:t>2</w:t>
      </w:r>
      <w:r w:rsidR="00CD2287">
        <w:rPr>
          <w:bCs/>
        </w:rPr>
        <w:t>1</w:t>
      </w:r>
    </w:p>
    <w:p w14:paraId="41040C0F" w14:textId="67B39E0B" w:rsidR="00ED11FE" w:rsidRDefault="00ED11FE" w:rsidP="00A52347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rPr>
          <w:bCs/>
        </w:rPr>
        <w:t xml:space="preserve">      5. Příloha ke dni 31.12.20</w:t>
      </w:r>
      <w:r w:rsidR="00B35B6C">
        <w:rPr>
          <w:bCs/>
        </w:rPr>
        <w:t>2</w:t>
      </w:r>
      <w:r w:rsidR="00CD2287">
        <w:rPr>
          <w:bCs/>
        </w:rPr>
        <w:t>1</w:t>
      </w:r>
    </w:p>
    <w:p w14:paraId="534F6960" w14:textId="003A3172" w:rsidR="00ED11FE" w:rsidRDefault="00ED11FE" w:rsidP="00ED11FE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rPr>
          <w:bCs/>
        </w:rPr>
        <w:t xml:space="preserve">      6. </w:t>
      </w:r>
      <w:r w:rsidRPr="000A5E78">
        <w:rPr>
          <w:bCs/>
        </w:rPr>
        <w:t xml:space="preserve">Zpráva o výsledku přezkoumání hospodaření </w:t>
      </w:r>
      <w:r>
        <w:rPr>
          <w:bCs/>
        </w:rPr>
        <w:t>obce</w:t>
      </w:r>
      <w:r w:rsidRPr="000A5E78">
        <w:rPr>
          <w:bCs/>
        </w:rPr>
        <w:t xml:space="preserve"> </w:t>
      </w:r>
      <w:r w:rsidR="00D30BF9">
        <w:rPr>
          <w:bCs/>
        </w:rPr>
        <w:t>Nedomice</w:t>
      </w:r>
      <w:r w:rsidRPr="000A5E78">
        <w:rPr>
          <w:bCs/>
        </w:rPr>
        <w:t xml:space="preserve"> za rok 20</w:t>
      </w:r>
      <w:r w:rsidR="00B35B6C">
        <w:rPr>
          <w:bCs/>
        </w:rPr>
        <w:t>2</w:t>
      </w:r>
      <w:r w:rsidR="00CD2287">
        <w:rPr>
          <w:bCs/>
        </w:rPr>
        <w:t>1</w:t>
      </w:r>
    </w:p>
    <w:p w14:paraId="288A5E1F" w14:textId="4CB8BF27" w:rsidR="0093065D" w:rsidRDefault="00ED11FE" w:rsidP="00A4125F">
      <w:pPr>
        <w:pStyle w:val="Zkladntext"/>
        <w:tabs>
          <w:tab w:val="left" w:pos="360"/>
        </w:tabs>
        <w:spacing w:line="240" w:lineRule="auto"/>
        <w:ind w:left="357"/>
        <w:jc w:val="both"/>
        <w:rPr>
          <w:bCs/>
        </w:rPr>
      </w:pPr>
      <w:r>
        <w:rPr>
          <w:bCs/>
        </w:rPr>
        <w:t>7</w:t>
      </w:r>
      <w:r w:rsidR="0093065D">
        <w:rPr>
          <w:bCs/>
        </w:rPr>
        <w:t xml:space="preserve">. Výkazy příspěvkové organizace </w:t>
      </w:r>
      <w:r w:rsidR="00347078">
        <w:rPr>
          <w:bCs/>
        </w:rPr>
        <w:t xml:space="preserve">ZŠ a </w:t>
      </w:r>
      <w:r w:rsidR="0093065D">
        <w:rPr>
          <w:bCs/>
        </w:rPr>
        <w:t xml:space="preserve">MŠ </w:t>
      </w:r>
      <w:r w:rsidR="00347078">
        <w:rPr>
          <w:bCs/>
        </w:rPr>
        <w:t>Nedomi</w:t>
      </w:r>
      <w:r w:rsidR="0093065D">
        <w:rPr>
          <w:bCs/>
        </w:rPr>
        <w:t>ce</w:t>
      </w:r>
    </w:p>
    <w:p w14:paraId="5F49815C" w14:textId="77777777" w:rsidR="00301B23" w:rsidRPr="000A5E78" w:rsidRDefault="00301B23" w:rsidP="00301B23">
      <w:pPr>
        <w:pStyle w:val="Zkladntext"/>
        <w:tabs>
          <w:tab w:val="left" w:pos="360"/>
        </w:tabs>
        <w:jc w:val="both"/>
      </w:pPr>
    </w:p>
    <w:p w14:paraId="537043EA" w14:textId="63CAD653" w:rsidR="00301B23" w:rsidRPr="000A5E78" w:rsidRDefault="00566AA0" w:rsidP="00566AA0">
      <w:pPr>
        <w:pStyle w:val="Zkladntext"/>
        <w:tabs>
          <w:tab w:val="left" w:pos="360"/>
        </w:tabs>
        <w:jc w:val="both"/>
      </w:pPr>
      <w:r>
        <w:t>V</w:t>
      </w:r>
      <w:r w:rsidR="00301B23" w:rsidRPr="000A5E78">
        <w:t>ypracovala:</w:t>
      </w:r>
      <w:r w:rsidR="00FC0F22">
        <w:tab/>
      </w:r>
      <w:r w:rsidR="00D30BF9">
        <w:t>Lucie Liďáková</w:t>
      </w:r>
      <w:r w:rsidR="00301B23" w:rsidRPr="000A5E78">
        <w:t xml:space="preserve"> – účetní</w:t>
      </w:r>
      <w:r w:rsidR="00FB7503">
        <w:tab/>
      </w:r>
      <w:r w:rsidR="00FB7503">
        <w:tab/>
      </w:r>
      <w:r w:rsidR="00FB7503">
        <w:tab/>
      </w:r>
      <w:r w:rsidR="00301B23" w:rsidRPr="000A5E78">
        <w:t>Předkládá:</w:t>
      </w:r>
      <w:r w:rsidR="00FC0F22">
        <w:tab/>
      </w:r>
      <w:r w:rsidR="00D30BF9">
        <w:t>Ing. Jitka Štyksová</w:t>
      </w:r>
      <w:r w:rsidR="00301B23" w:rsidRPr="000A5E78">
        <w:t xml:space="preserve"> – starost</w:t>
      </w:r>
      <w:r w:rsidR="00D30BF9">
        <w:t>k</w:t>
      </w:r>
      <w:r w:rsidR="00301B23" w:rsidRPr="000A5E78">
        <w:t>a</w:t>
      </w:r>
    </w:p>
    <w:p w14:paraId="79013E1B" w14:textId="2204AE39" w:rsidR="00566AA0" w:rsidRPr="000A5E78" w:rsidRDefault="00566AA0" w:rsidP="00566AA0">
      <w:pPr>
        <w:pStyle w:val="Zkladntext"/>
        <w:tabs>
          <w:tab w:val="left" w:pos="360"/>
        </w:tabs>
        <w:jc w:val="both"/>
      </w:pPr>
      <w:r w:rsidRPr="000A5E78">
        <w:t>Schváleno</w:t>
      </w:r>
      <w:r w:rsidR="00D27367">
        <w:t xml:space="preserve"> </w:t>
      </w:r>
      <w:r w:rsidRPr="000A5E78">
        <w:t xml:space="preserve">Zastupitelstvem obce </w:t>
      </w:r>
      <w:r>
        <w:t>Nedomice</w:t>
      </w:r>
      <w:r w:rsidRPr="000A5E78">
        <w:t xml:space="preserve"> dne</w:t>
      </w:r>
      <w:r w:rsidR="00233818">
        <w:t>:</w:t>
      </w:r>
      <w:r w:rsidR="002E0A7A">
        <w:tab/>
      </w:r>
      <w:r w:rsidR="002E0A7A">
        <w:tab/>
        <w:t>U</w:t>
      </w:r>
      <w:r w:rsidRPr="000A5E78">
        <w:t>snesení</w:t>
      </w:r>
      <w:r>
        <w:t>m</w:t>
      </w:r>
      <w:r w:rsidRPr="000A5E78">
        <w:t xml:space="preserve"> č</w:t>
      </w:r>
      <w:r>
        <w:t>íslo:</w:t>
      </w:r>
    </w:p>
    <w:p w14:paraId="259B5C4A" w14:textId="0908DB7B" w:rsidR="00D30BF9" w:rsidRDefault="00301B23" w:rsidP="00301B23">
      <w:pPr>
        <w:pStyle w:val="Zkladntext"/>
        <w:tabs>
          <w:tab w:val="left" w:pos="360"/>
        </w:tabs>
        <w:jc w:val="both"/>
      </w:pPr>
      <w:r w:rsidRPr="00D27367">
        <w:rPr>
          <w:u w:val="single"/>
        </w:rPr>
        <w:t>Vyvěšeno</w:t>
      </w:r>
      <w:r w:rsidRPr="000A5E78">
        <w:t>:</w:t>
      </w:r>
      <w:r w:rsidRPr="000A5E78">
        <w:tab/>
        <w:t>úřední deska:</w:t>
      </w:r>
      <w:r w:rsidR="00D62862">
        <w:tab/>
      </w:r>
      <w:r w:rsidR="00FB7A42">
        <w:tab/>
      </w:r>
      <w:r w:rsidR="00D62862">
        <w:tab/>
      </w:r>
      <w:r w:rsidR="00566AA0">
        <w:tab/>
      </w:r>
      <w:r w:rsidR="006F0EFF">
        <w:tab/>
      </w:r>
      <w:r w:rsidR="00CC7F3F" w:rsidRPr="00D27367">
        <w:rPr>
          <w:u w:val="single"/>
        </w:rPr>
        <w:t>Sejmuto</w:t>
      </w:r>
      <w:r w:rsidR="00CC7F3F">
        <w:t>:</w:t>
      </w:r>
      <w:r w:rsidR="00CC7F3F">
        <w:tab/>
        <w:t>úřední deska</w:t>
      </w:r>
      <w:r w:rsidR="002F0AD6">
        <w:t>:</w:t>
      </w:r>
    </w:p>
    <w:p w14:paraId="54304378" w14:textId="33D8A985" w:rsidR="00301B23" w:rsidRPr="000A5E78" w:rsidRDefault="00D30BF9" w:rsidP="00301B23">
      <w:pPr>
        <w:pStyle w:val="Zkladntext"/>
        <w:tabs>
          <w:tab w:val="left" w:pos="360"/>
        </w:tabs>
        <w:jc w:val="both"/>
      </w:pPr>
      <w:r>
        <w:tab/>
      </w:r>
      <w:r>
        <w:tab/>
      </w:r>
      <w:r>
        <w:tab/>
      </w:r>
      <w:r w:rsidR="00301B23" w:rsidRPr="000A5E78">
        <w:t>el. úřední deska:</w:t>
      </w:r>
      <w:r w:rsidR="00566AA0">
        <w:tab/>
      </w:r>
      <w:r w:rsidR="00CC7F3F">
        <w:tab/>
      </w:r>
      <w:r w:rsidR="00CC7F3F">
        <w:tab/>
      </w:r>
      <w:r w:rsidR="006F0EFF">
        <w:tab/>
      </w:r>
      <w:r w:rsidR="00CC7F3F">
        <w:tab/>
      </w:r>
      <w:r w:rsidR="00566AA0">
        <w:tab/>
      </w:r>
      <w:r w:rsidR="00CC7F3F">
        <w:t>el. úřední de</w:t>
      </w:r>
      <w:r w:rsidR="002B2DB0">
        <w:t>ska</w:t>
      </w:r>
      <w:r w:rsidR="002F0AD6">
        <w:t>:</w:t>
      </w:r>
    </w:p>
    <w:sectPr w:rsidR="00301B23" w:rsidRPr="000A5E78" w:rsidSect="002F0A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9D8"/>
    <w:multiLevelType w:val="hybridMultilevel"/>
    <w:tmpl w:val="A3905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748C"/>
    <w:multiLevelType w:val="hybridMultilevel"/>
    <w:tmpl w:val="C12A085C"/>
    <w:lvl w:ilvl="0" w:tplc="E7040E0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400AC"/>
    <w:multiLevelType w:val="hybridMultilevel"/>
    <w:tmpl w:val="E18E8238"/>
    <w:lvl w:ilvl="0" w:tplc="C298D5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C069B"/>
    <w:multiLevelType w:val="hybridMultilevel"/>
    <w:tmpl w:val="3C469F0A"/>
    <w:lvl w:ilvl="0" w:tplc="8C40069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E0D59"/>
    <w:multiLevelType w:val="hybridMultilevel"/>
    <w:tmpl w:val="A1E2C446"/>
    <w:lvl w:ilvl="0" w:tplc="4E6E219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4C7C7236"/>
    <w:multiLevelType w:val="hybridMultilevel"/>
    <w:tmpl w:val="CF047E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77CB2"/>
    <w:multiLevelType w:val="hybridMultilevel"/>
    <w:tmpl w:val="F7C24FF0"/>
    <w:lvl w:ilvl="0" w:tplc="0CFC692A">
      <w:start w:val="72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64800"/>
    <w:multiLevelType w:val="multilevel"/>
    <w:tmpl w:val="0405000B"/>
    <w:styleLink w:val="StylSodrkamiWingdingsSymbolPed063cmPedsazen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2125B"/>
    <w:multiLevelType w:val="hybridMultilevel"/>
    <w:tmpl w:val="0C160D3E"/>
    <w:lvl w:ilvl="0" w:tplc="9418CCA2">
      <w:start w:val="3"/>
      <w:numFmt w:val="bullet"/>
      <w:lvlText w:val="-"/>
      <w:lvlJc w:val="left"/>
      <w:pPr>
        <w:tabs>
          <w:tab w:val="num" w:pos="1699"/>
        </w:tabs>
        <w:ind w:left="1699" w:hanging="283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93"/>
    <w:rsid w:val="000013E9"/>
    <w:rsid w:val="00004417"/>
    <w:rsid w:val="000138AD"/>
    <w:rsid w:val="000151E3"/>
    <w:rsid w:val="00022C92"/>
    <w:rsid w:val="0002659C"/>
    <w:rsid w:val="0002752C"/>
    <w:rsid w:val="00027793"/>
    <w:rsid w:val="00031561"/>
    <w:rsid w:val="00060E8E"/>
    <w:rsid w:val="00066DCE"/>
    <w:rsid w:val="0007391C"/>
    <w:rsid w:val="000803DD"/>
    <w:rsid w:val="00083BA5"/>
    <w:rsid w:val="00085E1A"/>
    <w:rsid w:val="00091059"/>
    <w:rsid w:val="0009328C"/>
    <w:rsid w:val="0009747E"/>
    <w:rsid w:val="000A06AC"/>
    <w:rsid w:val="000A5E78"/>
    <w:rsid w:val="000A7C9F"/>
    <w:rsid w:val="000C2BBC"/>
    <w:rsid w:val="000C33F7"/>
    <w:rsid w:val="000C37C5"/>
    <w:rsid w:val="000C606E"/>
    <w:rsid w:val="000E280D"/>
    <w:rsid w:val="000E730B"/>
    <w:rsid w:val="000F54DB"/>
    <w:rsid w:val="0011434D"/>
    <w:rsid w:val="00114517"/>
    <w:rsid w:val="00116346"/>
    <w:rsid w:val="001165EF"/>
    <w:rsid w:val="00122F12"/>
    <w:rsid w:val="00146F26"/>
    <w:rsid w:val="00152C11"/>
    <w:rsid w:val="00152D41"/>
    <w:rsid w:val="00153AC3"/>
    <w:rsid w:val="00163006"/>
    <w:rsid w:val="001719C3"/>
    <w:rsid w:val="0017499B"/>
    <w:rsid w:val="001812EB"/>
    <w:rsid w:val="00190F3E"/>
    <w:rsid w:val="00194C3F"/>
    <w:rsid w:val="001A3E4E"/>
    <w:rsid w:val="001A76F8"/>
    <w:rsid w:val="001B4695"/>
    <w:rsid w:val="001B6339"/>
    <w:rsid w:val="001C11D0"/>
    <w:rsid w:val="001C1993"/>
    <w:rsid w:val="001C369E"/>
    <w:rsid w:val="001C3958"/>
    <w:rsid w:val="001D54BE"/>
    <w:rsid w:val="001D6E8C"/>
    <w:rsid w:val="001E2AB7"/>
    <w:rsid w:val="001E3489"/>
    <w:rsid w:val="001F0E9E"/>
    <w:rsid w:val="001F296C"/>
    <w:rsid w:val="001F2CE1"/>
    <w:rsid w:val="00205C21"/>
    <w:rsid w:val="00213CFC"/>
    <w:rsid w:val="00216AA4"/>
    <w:rsid w:val="00221D43"/>
    <w:rsid w:val="002236A0"/>
    <w:rsid w:val="0022654D"/>
    <w:rsid w:val="00227E71"/>
    <w:rsid w:val="00233818"/>
    <w:rsid w:val="00237EF4"/>
    <w:rsid w:val="002479B9"/>
    <w:rsid w:val="00251FE8"/>
    <w:rsid w:val="00262FBD"/>
    <w:rsid w:val="002631CF"/>
    <w:rsid w:val="002649CE"/>
    <w:rsid w:val="00265AF0"/>
    <w:rsid w:val="00267860"/>
    <w:rsid w:val="002713EE"/>
    <w:rsid w:val="00276AFD"/>
    <w:rsid w:val="00286DAC"/>
    <w:rsid w:val="002A00BB"/>
    <w:rsid w:val="002B2DB0"/>
    <w:rsid w:val="002C05BB"/>
    <w:rsid w:val="002D74A9"/>
    <w:rsid w:val="002E0A7A"/>
    <w:rsid w:val="002E3096"/>
    <w:rsid w:val="002F0AD6"/>
    <w:rsid w:val="002F0F3F"/>
    <w:rsid w:val="002F5769"/>
    <w:rsid w:val="00301B23"/>
    <w:rsid w:val="00303C13"/>
    <w:rsid w:val="00312BA5"/>
    <w:rsid w:val="00313E58"/>
    <w:rsid w:val="003146F3"/>
    <w:rsid w:val="003228B1"/>
    <w:rsid w:val="003259EF"/>
    <w:rsid w:val="0033110E"/>
    <w:rsid w:val="00336E9F"/>
    <w:rsid w:val="00341EC5"/>
    <w:rsid w:val="00347078"/>
    <w:rsid w:val="00351E56"/>
    <w:rsid w:val="00355F24"/>
    <w:rsid w:val="003654AE"/>
    <w:rsid w:val="00366179"/>
    <w:rsid w:val="003702E6"/>
    <w:rsid w:val="003725E6"/>
    <w:rsid w:val="00374B5C"/>
    <w:rsid w:val="00387966"/>
    <w:rsid w:val="003A1F0B"/>
    <w:rsid w:val="003A590E"/>
    <w:rsid w:val="003B49E8"/>
    <w:rsid w:val="003B5CAE"/>
    <w:rsid w:val="003C12B5"/>
    <w:rsid w:val="003C386A"/>
    <w:rsid w:val="003C4F79"/>
    <w:rsid w:val="003D4658"/>
    <w:rsid w:val="004015DD"/>
    <w:rsid w:val="00406CEA"/>
    <w:rsid w:val="004220EE"/>
    <w:rsid w:val="004244E2"/>
    <w:rsid w:val="00426B0F"/>
    <w:rsid w:val="00433027"/>
    <w:rsid w:val="00436CF4"/>
    <w:rsid w:val="00437888"/>
    <w:rsid w:val="00437B74"/>
    <w:rsid w:val="00437B83"/>
    <w:rsid w:val="0045117A"/>
    <w:rsid w:val="00454DA8"/>
    <w:rsid w:val="00457FA0"/>
    <w:rsid w:val="00473B1F"/>
    <w:rsid w:val="004816E7"/>
    <w:rsid w:val="00487C07"/>
    <w:rsid w:val="00491FD6"/>
    <w:rsid w:val="00496183"/>
    <w:rsid w:val="004A6420"/>
    <w:rsid w:val="004A7051"/>
    <w:rsid w:val="004B2A0D"/>
    <w:rsid w:val="004B7C15"/>
    <w:rsid w:val="004C50B3"/>
    <w:rsid w:val="004C7ACF"/>
    <w:rsid w:val="004D46AF"/>
    <w:rsid w:val="004F5DC0"/>
    <w:rsid w:val="00502E22"/>
    <w:rsid w:val="00517E4F"/>
    <w:rsid w:val="00526646"/>
    <w:rsid w:val="00531C14"/>
    <w:rsid w:val="005368E3"/>
    <w:rsid w:val="00540758"/>
    <w:rsid w:val="00551575"/>
    <w:rsid w:val="00551D9F"/>
    <w:rsid w:val="00566AA0"/>
    <w:rsid w:val="00582B17"/>
    <w:rsid w:val="0058533E"/>
    <w:rsid w:val="005B2E92"/>
    <w:rsid w:val="005C2DD5"/>
    <w:rsid w:val="005C4B20"/>
    <w:rsid w:val="005C60B5"/>
    <w:rsid w:val="005E0171"/>
    <w:rsid w:val="00613B0C"/>
    <w:rsid w:val="006173BB"/>
    <w:rsid w:val="0062112E"/>
    <w:rsid w:val="00634A3E"/>
    <w:rsid w:val="006356D5"/>
    <w:rsid w:val="00635992"/>
    <w:rsid w:val="00641001"/>
    <w:rsid w:val="006476AB"/>
    <w:rsid w:val="006515C3"/>
    <w:rsid w:val="00653108"/>
    <w:rsid w:val="00656B0B"/>
    <w:rsid w:val="00664158"/>
    <w:rsid w:val="0066654E"/>
    <w:rsid w:val="0066712E"/>
    <w:rsid w:val="00681D60"/>
    <w:rsid w:val="006873AB"/>
    <w:rsid w:val="0069333E"/>
    <w:rsid w:val="00694062"/>
    <w:rsid w:val="006949D7"/>
    <w:rsid w:val="00694E14"/>
    <w:rsid w:val="006A447E"/>
    <w:rsid w:val="006A6B83"/>
    <w:rsid w:val="006B1710"/>
    <w:rsid w:val="006C7D0B"/>
    <w:rsid w:val="006D601B"/>
    <w:rsid w:val="006F0EFF"/>
    <w:rsid w:val="006F5E92"/>
    <w:rsid w:val="0070159D"/>
    <w:rsid w:val="00705527"/>
    <w:rsid w:val="00714387"/>
    <w:rsid w:val="00717D1F"/>
    <w:rsid w:val="00722C41"/>
    <w:rsid w:val="00722CBD"/>
    <w:rsid w:val="00725097"/>
    <w:rsid w:val="0072704C"/>
    <w:rsid w:val="00733033"/>
    <w:rsid w:val="00737AC0"/>
    <w:rsid w:val="00743E21"/>
    <w:rsid w:val="00747BBA"/>
    <w:rsid w:val="00752295"/>
    <w:rsid w:val="00757990"/>
    <w:rsid w:val="00770517"/>
    <w:rsid w:val="00781E09"/>
    <w:rsid w:val="007965A6"/>
    <w:rsid w:val="007A52A2"/>
    <w:rsid w:val="007A6879"/>
    <w:rsid w:val="007B1225"/>
    <w:rsid w:val="007B603E"/>
    <w:rsid w:val="007C00CD"/>
    <w:rsid w:val="007D0408"/>
    <w:rsid w:val="007D195C"/>
    <w:rsid w:val="007E4BB9"/>
    <w:rsid w:val="007F1AC2"/>
    <w:rsid w:val="0080020C"/>
    <w:rsid w:val="00801CEF"/>
    <w:rsid w:val="00802527"/>
    <w:rsid w:val="008128F8"/>
    <w:rsid w:val="00812AD3"/>
    <w:rsid w:val="00816567"/>
    <w:rsid w:val="00816A63"/>
    <w:rsid w:val="00820AB3"/>
    <w:rsid w:val="00822BDC"/>
    <w:rsid w:val="008263F4"/>
    <w:rsid w:val="00827A8D"/>
    <w:rsid w:val="0083046F"/>
    <w:rsid w:val="008326A7"/>
    <w:rsid w:val="0083489A"/>
    <w:rsid w:val="008350C5"/>
    <w:rsid w:val="0084469A"/>
    <w:rsid w:val="00845FA6"/>
    <w:rsid w:val="008631A9"/>
    <w:rsid w:val="008764F2"/>
    <w:rsid w:val="00877D91"/>
    <w:rsid w:val="00881AF4"/>
    <w:rsid w:val="0089745F"/>
    <w:rsid w:val="008A109D"/>
    <w:rsid w:val="008A7814"/>
    <w:rsid w:val="008B1F25"/>
    <w:rsid w:val="008C3225"/>
    <w:rsid w:val="008D2984"/>
    <w:rsid w:val="008E52CE"/>
    <w:rsid w:val="008F04B6"/>
    <w:rsid w:val="008F5103"/>
    <w:rsid w:val="008F7D4D"/>
    <w:rsid w:val="009003B8"/>
    <w:rsid w:val="00902AF0"/>
    <w:rsid w:val="00922526"/>
    <w:rsid w:val="00922BA6"/>
    <w:rsid w:val="0093065D"/>
    <w:rsid w:val="00930830"/>
    <w:rsid w:val="0093181B"/>
    <w:rsid w:val="00934F1A"/>
    <w:rsid w:val="00936EBF"/>
    <w:rsid w:val="00940624"/>
    <w:rsid w:val="00944052"/>
    <w:rsid w:val="00960085"/>
    <w:rsid w:val="009671D7"/>
    <w:rsid w:val="00977968"/>
    <w:rsid w:val="009943E7"/>
    <w:rsid w:val="009A042B"/>
    <w:rsid w:val="009A1188"/>
    <w:rsid w:val="009A2CB4"/>
    <w:rsid w:val="009A7409"/>
    <w:rsid w:val="009B2B6C"/>
    <w:rsid w:val="009C19A4"/>
    <w:rsid w:val="009D2350"/>
    <w:rsid w:val="009D40A6"/>
    <w:rsid w:val="009D4BF1"/>
    <w:rsid w:val="009D5F0F"/>
    <w:rsid w:val="009E498A"/>
    <w:rsid w:val="009E4B37"/>
    <w:rsid w:val="009E6E47"/>
    <w:rsid w:val="009F3F4B"/>
    <w:rsid w:val="00A35E1C"/>
    <w:rsid w:val="00A4125F"/>
    <w:rsid w:val="00A4245D"/>
    <w:rsid w:val="00A52347"/>
    <w:rsid w:val="00A610B7"/>
    <w:rsid w:val="00A70A01"/>
    <w:rsid w:val="00A85C52"/>
    <w:rsid w:val="00A90B7A"/>
    <w:rsid w:val="00A91A73"/>
    <w:rsid w:val="00A92B8D"/>
    <w:rsid w:val="00A94C2C"/>
    <w:rsid w:val="00A972D8"/>
    <w:rsid w:val="00AA26D0"/>
    <w:rsid w:val="00AA6A32"/>
    <w:rsid w:val="00AB3886"/>
    <w:rsid w:val="00AB5BB4"/>
    <w:rsid w:val="00AE014F"/>
    <w:rsid w:val="00AE227D"/>
    <w:rsid w:val="00AF2754"/>
    <w:rsid w:val="00AF5F52"/>
    <w:rsid w:val="00B00D47"/>
    <w:rsid w:val="00B0247E"/>
    <w:rsid w:val="00B04A0F"/>
    <w:rsid w:val="00B06432"/>
    <w:rsid w:val="00B1155F"/>
    <w:rsid w:val="00B15892"/>
    <w:rsid w:val="00B15D4C"/>
    <w:rsid w:val="00B2387D"/>
    <w:rsid w:val="00B26EE1"/>
    <w:rsid w:val="00B321C9"/>
    <w:rsid w:val="00B34700"/>
    <w:rsid w:val="00B35B09"/>
    <w:rsid w:val="00B35B6C"/>
    <w:rsid w:val="00B42C07"/>
    <w:rsid w:val="00B44E15"/>
    <w:rsid w:val="00B45333"/>
    <w:rsid w:val="00B53708"/>
    <w:rsid w:val="00B57A6F"/>
    <w:rsid w:val="00B755F0"/>
    <w:rsid w:val="00B81B36"/>
    <w:rsid w:val="00B84414"/>
    <w:rsid w:val="00BA66A3"/>
    <w:rsid w:val="00BA7515"/>
    <w:rsid w:val="00BB5CFE"/>
    <w:rsid w:val="00BB65AC"/>
    <w:rsid w:val="00BC5537"/>
    <w:rsid w:val="00BC65C3"/>
    <w:rsid w:val="00BD3B0D"/>
    <w:rsid w:val="00BD4ED7"/>
    <w:rsid w:val="00BD69BD"/>
    <w:rsid w:val="00BF1D4D"/>
    <w:rsid w:val="00BF57D1"/>
    <w:rsid w:val="00C0776E"/>
    <w:rsid w:val="00C3345D"/>
    <w:rsid w:val="00C3416F"/>
    <w:rsid w:val="00C35F1F"/>
    <w:rsid w:val="00C45B1B"/>
    <w:rsid w:val="00C53ED1"/>
    <w:rsid w:val="00C55093"/>
    <w:rsid w:val="00C6609B"/>
    <w:rsid w:val="00C7089E"/>
    <w:rsid w:val="00C73EE0"/>
    <w:rsid w:val="00C75C4D"/>
    <w:rsid w:val="00C87875"/>
    <w:rsid w:val="00C91AEE"/>
    <w:rsid w:val="00CA696C"/>
    <w:rsid w:val="00CB263F"/>
    <w:rsid w:val="00CB61CE"/>
    <w:rsid w:val="00CC1B76"/>
    <w:rsid w:val="00CC7C03"/>
    <w:rsid w:val="00CC7F3F"/>
    <w:rsid w:val="00CD2287"/>
    <w:rsid w:val="00CD7F2A"/>
    <w:rsid w:val="00CE448F"/>
    <w:rsid w:val="00CE4613"/>
    <w:rsid w:val="00CE6521"/>
    <w:rsid w:val="00CF0869"/>
    <w:rsid w:val="00CF4099"/>
    <w:rsid w:val="00CF7405"/>
    <w:rsid w:val="00D03901"/>
    <w:rsid w:val="00D0440D"/>
    <w:rsid w:val="00D07DBA"/>
    <w:rsid w:val="00D24572"/>
    <w:rsid w:val="00D27367"/>
    <w:rsid w:val="00D30BF9"/>
    <w:rsid w:val="00D3126F"/>
    <w:rsid w:val="00D44493"/>
    <w:rsid w:val="00D4681A"/>
    <w:rsid w:val="00D47563"/>
    <w:rsid w:val="00D5173E"/>
    <w:rsid w:val="00D60472"/>
    <w:rsid w:val="00D62862"/>
    <w:rsid w:val="00D72762"/>
    <w:rsid w:val="00D76251"/>
    <w:rsid w:val="00D83AE0"/>
    <w:rsid w:val="00D92654"/>
    <w:rsid w:val="00D97E21"/>
    <w:rsid w:val="00DA5999"/>
    <w:rsid w:val="00DA7243"/>
    <w:rsid w:val="00DB551E"/>
    <w:rsid w:val="00DD2895"/>
    <w:rsid w:val="00DD5D3D"/>
    <w:rsid w:val="00DE33BA"/>
    <w:rsid w:val="00DF39BA"/>
    <w:rsid w:val="00E01A4F"/>
    <w:rsid w:val="00E04421"/>
    <w:rsid w:val="00E140A9"/>
    <w:rsid w:val="00E1603D"/>
    <w:rsid w:val="00E20463"/>
    <w:rsid w:val="00E20C4E"/>
    <w:rsid w:val="00E27598"/>
    <w:rsid w:val="00E3323D"/>
    <w:rsid w:val="00E35030"/>
    <w:rsid w:val="00E36E8C"/>
    <w:rsid w:val="00E36FD0"/>
    <w:rsid w:val="00E422E5"/>
    <w:rsid w:val="00E45D89"/>
    <w:rsid w:val="00E527E8"/>
    <w:rsid w:val="00E52D16"/>
    <w:rsid w:val="00E70B4C"/>
    <w:rsid w:val="00E72ADA"/>
    <w:rsid w:val="00E76193"/>
    <w:rsid w:val="00EA4CF3"/>
    <w:rsid w:val="00EB4F25"/>
    <w:rsid w:val="00EC170F"/>
    <w:rsid w:val="00EC4CF9"/>
    <w:rsid w:val="00EC739A"/>
    <w:rsid w:val="00ED11FE"/>
    <w:rsid w:val="00ED48A1"/>
    <w:rsid w:val="00EE159B"/>
    <w:rsid w:val="00EE41B6"/>
    <w:rsid w:val="00F027FA"/>
    <w:rsid w:val="00F040AB"/>
    <w:rsid w:val="00F055CE"/>
    <w:rsid w:val="00F142BA"/>
    <w:rsid w:val="00F21C8C"/>
    <w:rsid w:val="00F40421"/>
    <w:rsid w:val="00F418D0"/>
    <w:rsid w:val="00F47878"/>
    <w:rsid w:val="00F501B6"/>
    <w:rsid w:val="00F527BB"/>
    <w:rsid w:val="00F730A2"/>
    <w:rsid w:val="00F80D3B"/>
    <w:rsid w:val="00F833C0"/>
    <w:rsid w:val="00F9168B"/>
    <w:rsid w:val="00F9238C"/>
    <w:rsid w:val="00F94853"/>
    <w:rsid w:val="00F960C3"/>
    <w:rsid w:val="00F97CF7"/>
    <w:rsid w:val="00FA158D"/>
    <w:rsid w:val="00FA4579"/>
    <w:rsid w:val="00FB1A1B"/>
    <w:rsid w:val="00FB6A0B"/>
    <w:rsid w:val="00FB7503"/>
    <w:rsid w:val="00FB7A42"/>
    <w:rsid w:val="00FC0F22"/>
    <w:rsid w:val="00FC7298"/>
    <w:rsid w:val="00FC7EF7"/>
    <w:rsid w:val="00FD0221"/>
    <w:rsid w:val="00FD111C"/>
    <w:rsid w:val="00FD6E2A"/>
    <w:rsid w:val="00FE0094"/>
    <w:rsid w:val="00FE1638"/>
    <w:rsid w:val="00FE5A1C"/>
    <w:rsid w:val="00FF0165"/>
    <w:rsid w:val="00FF26B2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9789F9"/>
  <w15:docId w15:val="{8A402E6C-5B7A-4FE3-839D-AEAE469A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B7A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WingdingsSymbolPed063cmPedsazen">
    <w:name w:val="Styl S odrážkami Wingdings (Symbol) Před:  063 cm Předsazení: ..."/>
    <w:rsid w:val="001C1993"/>
    <w:pPr>
      <w:numPr>
        <w:numId w:val="1"/>
      </w:numPr>
    </w:pPr>
  </w:style>
  <w:style w:type="paragraph" w:customStyle="1" w:styleId="Normal">
    <w:name w:val="[Normal]"/>
    <w:rsid w:val="00FD022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FD0221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rsid w:val="00FD0221"/>
    <w:pPr>
      <w:widowControl w:val="0"/>
      <w:suppressAutoHyphens/>
      <w:spacing w:line="288" w:lineRule="auto"/>
    </w:pPr>
    <w:rPr>
      <w:rFonts w:eastAsia="Times New Roman"/>
    </w:rPr>
  </w:style>
  <w:style w:type="paragraph" w:styleId="Textbubliny">
    <w:name w:val="Balloon Text"/>
    <w:basedOn w:val="Normln"/>
    <w:link w:val="TextbublinyChar"/>
    <w:semiHidden/>
    <w:rsid w:val="00FF26B2"/>
    <w:rPr>
      <w:rFonts w:ascii="Tahoma" w:eastAsia="Times New Roman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FF26B2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rsid w:val="009A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4294957478</TotalTime>
  <Pages>3</Pages>
  <Words>1209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creator>Iva</dc:creator>
  <cp:lastModifiedBy>Lucie Liďáková</cp:lastModifiedBy>
  <cp:revision>31</cp:revision>
  <cp:lastPrinted>2014-03-30T14:40:00Z</cp:lastPrinted>
  <dcterms:created xsi:type="dcterms:W3CDTF">2022-04-29T09:40:00Z</dcterms:created>
  <dcterms:modified xsi:type="dcterms:W3CDTF">2022-05-04T06:38:00Z</dcterms:modified>
</cp:coreProperties>
</file>